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CDCC76" w14:textId="359D9932" w:rsidR="00790720" w:rsidRDefault="00242481" w:rsidP="004B0679">
      <w:pPr>
        <w:pStyle w:val="Heading1"/>
        <w:spacing w:before="0" w:after="120"/>
        <w:rPr>
          <w:rFonts w:cs="Arial"/>
          <w:sz w:val="44"/>
          <w:szCs w:val="44"/>
        </w:rPr>
      </w:pPr>
      <w:r>
        <w:rPr>
          <w:rFonts w:cs="Arial"/>
          <w:sz w:val="44"/>
          <w:szCs w:val="44"/>
        </w:rPr>
        <w:t>4.</w:t>
      </w:r>
      <w:r w:rsidR="00B13D73">
        <w:rPr>
          <w:rFonts w:cs="Arial"/>
          <w:sz w:val="44"/>
          <w:szCs w:val="44"/>
        </w:rPr>
        <w:t>4</w:t>
      </w:r>
      <w:r w:rsidR="0079510E">
        <w:rPr>
          <w:rFonts w:cs="Arial"/>
          <w:sz w:val="44"/>
          <w:szCs w:val="44"/>
        </w:rPr>
        <w:t xml:space="preserve">: </w:t>
      </w:r>
      <w:r w:rsidR="00DD6E30">
        <w:rPr>
          <w:rFonts w:cs="Arial"/>
          <w:sz w:val="44"/>
          <w:szCs w:val="44"/>
        </w:rPr>
        <w:t xml:space="preserve">Global </w:t>
      </w:r>
      <w:r>
        <w:rPr>
          <w:rFonts w:cs="Arial"/>
          <w:sz w:val="44"/>
          <w:szCs w:val="44"/>
        </w:rPr>
        <w:t xml:space="preserve">Computer Model </w:t>
      </w:r>
      <w:r w:rsidR="006F375F">
        <w:rPr>
          <w:rFonts w:cs="Arial"/>
          <w:sz w:val="44"/>
          <w:szCs w:val="44"/>
        </w:rPr>
        <w:t>Reading</w:t>
      </w:r>
    </w:p>
    <w:p w14:paraId="2AD9E87A" w14:textId="4F470990" w:rsidR="00E54375" w:rsidRDefault="006E12E2" w:rsidP="00E54375">
      <w:pPr>
        <w:pStyle w:val="standard"/>
      </w:pPr>
      <w:r>
        <w:t>Lesson 4</w:t>
      </w:r>
      <w:r w:rsidR="00D95578">
        <w:t xml:space="preserve"> started</w:t>
      </w:r>
      <w:r>
        <w:t xml:space="preserve"> with some ideas and some questions.  </w:t>
      </w:r>
      <w:r w:rsidR="00D95578">
        <w:t>You learned in Lessons 2 and 3 that b</w:t>
      </w:r>
      <w:r>
        <w:t xml:space="preserve">ecause of the Greenhouse Effect, carbon dioxide in the atmosphere is the most important driver of global warming.  </w:t>
      </w:r>
      <w:r w:rsidR="00D95578">
        <w:t>You also learned that</w:t>
      </w:r>
      <w:r w:rsidR="007D7A4C">
        <w:t xml:space="preserve"> CO</w:t>
      </w:r>
      <w:r w:rsidR="007D7A4C" w:rsidRPr="00F16F84">
        <w:rPr>
          <w:vertAlign w:val="subscript"/>
        </w:rPr>
        <w:t>2</w:t>
      </w:r>
      <w:r w:rsidR="007D7A4C">
        <w:t xml:space="preserve"> concentrations in the atmosphere</w:t>
      </w:r>
      <w:r w:rsidR="006C305A">
        <w:t xml:space="preserve"> at Hawaii</w:t>
      </w:r>
      <w:r w:rsidR="007D7A4C">
        <w:t xml:space="preserve"> follow two important patterns:</w:t>
      </w:r>
    </w:p>
    <w:p w14:paraId="33962EE7" w14:textId="5E374F38" w:rsidR="007D7A4C" w:rsidRDefault="007D7A4C" w:rsidP="00F16F84">
      <w:pPr>
        <w:pStyle w:val="ListParagraph"/>
        <w:numPr>
          <w:ilvl w:val="0"/>
          <w:numId w:val="34"/>
        </w:numPr>
      </w:pPr>
      <w:r>
        <w:rPr>
          <w:i/>
        </w:rPr>
        <w:t>The annual cycle:</w:t>
      </w:r>
      <w:r>
        <w:t xml:space="preserve"> Every year CO</w:t>
      </w:r>
      <w:r w:rsidRPr="00C83B9B">
        <w:rPr>
          <w:vertAlign w:val="subscript"/>
        </w:rPr>
        <w:t>2</w:t>
      </w:r>
      <w:r>
        <w:t xml:space="preserve"> concentrations in Hawaii go down in the summer and up in the winter.</w:t>
      </w:r>
    </w:p>
    <w:p w14:paraId="62E74B0E" w14:textId="155AC6CA" w:rsidR="007D7A4C" w:rsidRDefault="007D7A4C" w:rsidP="00F16F84">
      <w:pPr>
        <w:pStyle w:val="ListParagraph"/>
        <w:numPr>
          <w:ilvl w:val="0"/>
          <w:numId w:val="34"/>
        </w:numPr>
      </w:pPr>
      <w:r>
        <w:rPr>
          <w:i/>
        </w:rPr>
        <w:t>The long-term trend:</w:t>
      </w:r>
      <w:r>
        <w:t xml:space="preserve"> Every year CO</w:t>
      </w:r>
      <w:r w:rsidRPr="00C83B9B">
        <w:rPr>
          <w:vertAlign w:val="subscript"/>
        </w:rPr>
        <w:t>2</w:t>
      </w:r>
      <w:r>
        <w:t xml:space="preserve"> concentrations are a little bit higher than the year before.</w:t>
      </w:r>
    </w:p>
    <w:p w14:paraId="05291D6E" w14:textId="5D975B9E" w:rsidR="007D7A4C" w:rsidRDefault="007D7A4C">
      <w:pPr>
        <w:pStyle w:val="standard"/>
      </w:pPr>
      <w:r>
        <w:t xml:space="preserve">Lesson 4 is about using pool-and-flux models to answer three questions: </w:t>
      </w:r>
    </w:p>
    <w:p w14:paraId="4D833409" w14:textId="152612A3" w:rsidR="0012429C" w:rsidRPr="007D7A4C" w:rsidRDefault="00971BD9" w:rsidP="007D7A4C">
      <w:pPr>
        <w:pStyle w:val="ListParagraph"/>
      </w:pPr>
      <w:r>
        <w:rPr>
          <w:i/>
        </w:rPr>
        <w:t xml:space="preserve">Explaining the annual cycle: </w:t>
      </w:r>
      <w:r w:rsidR="00D976AF" w:rsidRPr="007D7A4C">
        <w:t>What causes CO</w:t>
      </w:r>
      <w:r w:rsidR="00D976AF" w:rsidRPr="007D7A4C">
        <w:rPr>
          <w:vertAlign w:val="subscript"/>
        </w:rPr>
        <w:t>2</w:t>
      </w:r>
      <w:r w:rsidR="00D976AF" w:rsidRPr="007D7A4C">
        <w:t xml:space="preserve"> concentrations in Hawaii to go down every summer and up every winter?</w:t>
      </w:r>
    </w:p>
    <w:p w14:paraId="3D700B58" w14:textId="70A5C31D" w:rsidR="0012429C" w:rsidRPr="007D7A4C" w:rsidRDefault="00971BD9" w:rsidP="007D7A4C">
      <w:pPr>
        <w:pStyle w:val="ListParagraph"/>
      </w:pPr>
      <w:r>
        <w:rPr>
          <w:i/>
        </w:rPr>
        <w:t xml:space="preserve">Explaining the long-term trend: </w:t>
      </w:r>
      <w:r w:rsidR="00D976AF" w:rsidRPr="007D7A4C">
        <w:t>What causes CO</w:t>
      </w:r>
      <w:r w:rsidR="00D976AF" w:rsidRPr="007D7A4C">
        <w:rPr>
          <w:vertAlign w:val="subscript"/>
        </w:rPr>
        <w:t>2</w:t>
      </w:r>
      <w:r w:rsidR="00D976AF" w:rsidRPr="007D7A4C">
        <w:t xml:space="preserve"> concentrations to go up every year?</w:t>
      </w:r>
    </w:p>
    <w:p w14:paraId="0E701327" w14:textId="64F0B52E" w:rsidR="0012429C" w:rsidRPr="007D7A4C" w:rsidRDefault="00971BD9" w:rsidP="007D7A4C">
      <w:pPr>
        <w:pStyle w:val="ListParagraph"/>
      </w:pPr>
      <w:r>
        <w:rPr>
          <w:i/>
        </w:rPr>
        <w:t xml:space="preserve">Predicting the future: </w:t>
      </w:r>
      <w:r w:rsidR="00D976AF" w:rsidRPr="007D7A4C">
        <w:t>How can we predict what will happen to CO</w:t>
      </w:r>
      <w:r w:rsidR="00D976AF" w:rsidRPr="007D7A4C">
        <w:rPr>
          <w:vertAlign w:val="subscript"/>
        </w:rPr>
        <w:t>2</w:t>
      </w:r>
      <w:r w:rsidR="00D976AF" w:rsidRPr="007D7A4C">
        <w:t xml:space="preserve"> concentrations in the future?</w:t>
      </w:r>
    </w:p>
    <w:p w14:paraId="444654D2" w14:textId="016395CF" w:rsidR="00EF0FB9" w:rsidRDefault="0055055A" w:rsidP="00F16F84">
      <w:pPr>
        <w:pStyle w:val="Heading2"/>
      </w:pPr>
      <w:r w:rsidRPr="0033448B">
        <w:rPr>
          <w:noProof/>
        </w:rPr>
        <w:drawing>
          <wp:anchor distT="0" distB="0" distL="114300" distR="114300" simplePos="0" relativeHeight="251658240" behindDoc="0" locked="0" layoutInCell="1" allowOverlap="1" wp14:anchorId="4159530B" wp14:editId="3FB315D3">
            <wp:simplePos x="0" y="0"/>
            <wp:positionH relativeFrom="column">
              <wp:posOffset>2120265</wp:posOffset>
            </wp:positionH>
            <wp:positionV relativeFrom="paragraph">
              <wp:posOffset>129540</wp:posOffset>
            </wp:positionV>
            <wp:extent cx="3841750" cy="2880995"/>
            <wp:effectExtent l="25400" t="25400" r="19050" b="1460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3841750" cy="288099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EF0FB9">
        <w:t>Answering the First Two Questions</w:t>
      </w:r>
      <w:r w:rsidRPr="0055055A">
        <w:rPr>
          <w:noProof/>
        </w:rPr>
        <w:t xml:space="preserve"> </w:t>
      </w:r>
    </w:p>
    <w:p w14:paraId="12A29963" w14:textId="42DF2EC4" w:rsidR="007D7A4C" w:rsidRDefault="0079682D">
      <w:pPr>
        <w:pStyle w:val="standard"/>
      </w:pPr>
      <w:r>
        <w:t xml:space="preserve">The Tiny World pool-and-flux model that you used in Activity 4.3 is much smaller and simpler than the real world, but </w:t>
      </w:r>
      <w:r w:rsidR="001D4633">
        <w:t xml:space="preserve">you can use the three pools and three fluxes in that model to answer the </w:t>
      </w:r>
      <w:r w:rsidR="00651A3C">
        <w:t xml:space="preserve">first two questions.  The annual cycle and the long-term trend are caused by changes in the photosynthesis and fossil fuel combustion fluxes. </w:t>
      </w:r>
    </w:p>
    <w:p w14:paraId="37B470E8" w14:textId="00D4101F" w:rsidR="002E40EE" w:rsidRDefault="002E40EE">
      <w:pPr>
        <w:pStyle w:val="standard"/>
      </w:pPr>
      <w:r>
        <w:t xml:space="preserve">But the Tiny World pool-and-flux model is too simple to answer the third question, about predicting the future.  </w:t>
      </w:r>
      <w:r w:rsidR="00FD4939">
        <w:t xml:space="preserve">In the Tiny World model each carbon pool has a few atoms.  In the real world each carbon pool </w:t>
      </w:r>
      <w:r w:rsidR="00D95604">
        <w:t xml:space="preserve">has hundreds of billions of tons of carbon. </w:t>
      </w:r>
    </w:p>
    <w:p w14:paraId="5DF88808" w14:textId="074FFE3C" w:rsidR="00EF0FB9" w:rsidRDefault="00EF0FB9" w:rsidP="00F16F84">
      <w:pPr>
        <w:pStyle w:val="Heading2"/>
      </w:pPr>
      <w:r>
        <w:t>Answering the Third Question: How Can We Use Models to Predict the Future?</w:t>
      </w:r>
    </w:p>
    <w:p w14:paraId="510BC336" w14:textId="3938CB03" w:rsidR="00107CBF" w:rsidRDefault="00CB6F51">
      <w:pPr>
        <w:pStyle w:val="standard"/>
      </w:pPr>
      <w:r>
        <w:t>Y</w:t>
      </w:r>
      <w:r w:rsidR="00EF0FB9">
        <w:t>ou can use the Global Computer Model</w:t>
      </w:r>
      <w:r>
        <w:t xml:space="preserve"> (</w:t>
      </w:r>
      <w:hyperlink r:id="rId8" w:history="1">
        <w:r w:rsidR="00170382" w:rsidRPr="00170382">
          <w:rPr>
            <w:rStyle w:val="Hyperlink"/>
          </w:rPr>
          <w:t>http://carbontime.bscs.org/sites/default/files/simulations/HES_Simulation/index.html</w:t>
        </w:r>
      </w:hyperlink>
      <w:r>
        <w:t>)</w:t>
      </w:r>
      <w:r w:rsidR="00EF0FB9">
        <w:t xml:space="preserve"> to make predictions based on the current size of the Earth’s carbon pools.</w:t>
      </w:r>
      <w:r w:rsidR="004F5752">
        <w:t xml:space="preserve">  Like the Tiny World Model, the Global Computer Model has three carbon pools: (1) CO</w:t>
      </w:r>
      <w:r w:rsidR="004F5752" w:rsidRPr="00F16F84">
        <w:rPr>
          <w:vertAlign w:val="subscript"/>
        </w:rPr>
        <w:t>2</w:t>
      </w:r>
      <w:r w:rsidR="004F5752">
        <w:t xml:space="preserve"> in the atmosphere; (2) organic carbon in plants, animals, and soil; and (3) </w:t>
      </w:r>
      <w:r w:rsidR="00FD7F5F">
        <w:t xml:space="preserve">organic carbon in fossil fuels: coal, petroleum, and </w:t>
      </w:r>
      <w:r w:rsidR="00FD7F5F">
        <w:lastRenderedPageBreak/>
        <w:t>natural gas.</w:t>
      </w:r>
      <w:r w:rsidR="00FD7F5F">
        <w:rPr>
          <w:rStyle w:val="FootnoteReference"/>
        </w:rPr>
        <w:footnoteReference w:id="1"/>
      </w:r>
      <w:r w:rsidR="00FD7F5F">
        <w:t xml:space="preserve">  </w:t>
      </w:r>
      <w:r w:rsidR="00071A1A">
        <w:t>It also has three carbon fluxes going into and out of the atmosphere: (1) photosynthesis, (2) cellular respiration, and (3) combustion of fossil fuels.</w:t>
      </w:r>
    </w:p>
    <w:p w14:paraId="22877E6A" w14:textId="344460A9" w:rsidR="00EF0FB9" w:rsidRDefault="00071A1A">
      <w:pPr>
        <w:pStyle w:val="standard"/>
      </w:pPr>
      <w:r w:rsidRPr="00CB429C">
        <w:rPr>
          <w:noProof/>
        </w:rPr>
        <w:drawing>
          <wp:anchor distT="0" distB="0" distL="114300" distR="114300" simplePos="0" relativeHeight="251659264" behindDoc="0" locked="0" layoutInCell="1" allowOverlap="1" wp14:anchorId="0FF63E4D" wp14:editId="01ACA9AC">
            <wp:simplePos x="0" y="0"/>
            <wp:positionH relativeFrom="column">
              <wp:posOffset>1882775</wp:posOffset>
            </wp:positionH>
            <wp:positionV relativeFrom="paragraph">
              <wp:posOffset>216535</wp:posOffset>
            </wp:positionV>
            <wp:extent cx="4095115" cy="2376170"/>
            <wp:effectExtent l="12700" t="12700" r="6985" b="1143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bwMode="auto">
                    <a:xfrm>
                      <a:off x="0" y="0"/>
                      <a:ext cx="4095115" cy="237617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00AD">
        <w:t>The Earth’s carbon</w:t>
      </w:r>
      <w:r w:rsidR="00FD7F5F">
        <w:t xml:space="preserve"> pools are very large</w:t>
      </w:r>
      <w:r w:rsidR="00107CBF">
        <w:t>—their size is measured in gigatons of carbon (</w:t>
      </w:r>
      <w:proofErr w:type="spellStart"/>
      <w:r w:rsidR="00107CBF">
        <w:t>GtC</w:t>
      </w:r>
      <w:proofErr w:type="spellEnd"/>
      <w:r w:rsidR="00107CBF">
        <w:t>).  One gigaton is 1,000,000,000 (one billion) tons.</w:t>
      </w:r>
      <w:r w:rsidR="00107CBF">
        <w:rPr>
          <w:rStyle w:val="FootnoteReference"/>
        </w:rPr>
        <w:footnoteReference w:id="2"/>
      </w:r>
      <w:r w:rsidR="00107CBF">
        <w:t xml:space="preserve">  </w:t>
      </w:r>
      <w:r w:rsidR="003E2307">
        <w:t xml:space="preserve">As the Keeling Curve shows, these pools are constantly changing size.  The initial values in the Global </w:t>
      </w:r>
      <w:r w:rsidR="00C90F46">
        <w:t>Computer</w:t>
      </w:r>
      <w:r w:rsidR="003E2307">
        <w:t xml:space="preserve"> Model (about 850 </w:t>
      </w:r>
      <w:proofErr w:type="spellStart"/>
      <w:r w:rsidR="003E2307">
        <w:t>GtC</w:t>
      </w:r>
      <w:proofErr w:type="spellEnd"/>
      <w:r w:rsidR="003E2307">
        <w:t xml:space="preserve"> for the atmospheric pool, about 2000 </w:t>
      </w:r>
      <w:proofErr w:type="spellStart"/>
      <w:r w:rsidR="003E2307">
        <w:t>GtC</w:t>
      </w:r>
      <w:proofErr w:type="spellEnd"/>
      <w:r w:rsidR="003E2307">
        <w:t xml:space="preserve"> for the</w:t>
      </w:r>
      <w:r w:rsidR="0031490A">
        <w:t xml:space="preserve"> plants, animals, and soil pool, and more than 4000 </w:t>
      </w:r>
      <w:proofErr w:type="spellStart"/>
      <w:r w:rsidR="0031490A">
        <w:t>GtC</w:t>
      </w:r>
      <w:proofErr w:type="spellEnd"/>
      <w:r w:rsidR="0031490A">
        <w:t xml:space="preserve"> for the fossil fuels pool</w:t>
      </w:r>
      <w:r w:rsidR="003C00AD">
        <w:t>) are about the size of these pools in 2017</w:t>
      </w:r>
      <w:r w:rsidR="0031490A">
        <w:t>.</w:t>
      </w:r>
      <w:r w:rsidR="00CB429C" w:rsidRPr="00CB429C">
        <w:rPr>
          <w:noProof/>
        </w:rPr>
        <w:t xml:space="preserve"> </w:t>
      </w:r>
    </w:p>
    <w:p w14:paraId="74936EC7" w14:textId="6F3175C0" w:rsidR="0031490A" w:rsidRDefault="00724BFE">
      <w:pPr>
        <w:pStyle w:val="standard"/>
      </w:pPr>
      <w:r>
        <w:t>Here’s another thing: The International Panel on Climate Change (IPCC)</w:t>
      </w:r>
      <w:r w:rsidR="00C54391">
        <w:t xml:space="preserve"> has made an estimate of how big the atmospheric pool can become before the effects of climate change become very serious (for example, sea level rise that will drown coastal cities, severe droughts and floods).  The IPCC recommends that the atmospheric pool should </w:t>
      </w:r>
      <w:r w:rsidR="00C54391">
        <w:rPr>
          <w:i/>
        </w:rPr>
        <w:t>never</w:t>
      </w:r>
      <w:r w:rsidR="00C54391">
        <w:t xml:space="preserve"> get larger than about </w:t>
      </w:r>
      <w:r w:rsidR="00C54391" w:rsidRPr="00F16F84">
        <w:rPr>
          <w:b/>
        </w:rPr>
        <w:t xml:space="preserve">1100 </w:t>
      </w:r>
      <w:proofErr w:type="spellStart"/>
      <w:r w:rsidR="00C54391" w:rsidRPr="00F16F84">
        <w:rPr>
          <w:b/>
        </w:rPr>
        <w:t>GtC</w:t>
      </w:r>
      <w:proofErr w:type="spellEnd"/>
      <w:r w:rsidR="00C54391">
        <w:t>.</w:t>
      </w:r>
      <w:r w:rsidR="004E7CC3">
        <w:t xml:space="preserve"> </w:t>
      </w:r>
      <w:r w:rsidR="007B688B">
        <w:t xml:space="preserve"> </w:t>
      </w:r>
      <w:r w:rsidR="004E7CC3">
        <w:t>The two</w:t>
      </w:r>
      <w:r w:rsidR="007B688B">
        <w:t xml:space="preserve"> organic matter</w:t>
      </w:r>
      <w:r w:rsidR="004E7CC3">
        <w:t xml:space="preserve"> pools are both much larger than </w:t>
      </w:r>
      <w:r w:rsidR="007B688B">
        <w:t xml:space="preserve">1100 </w:t>
      </w:r>
      <w:proofErr w:type="spellStart"/>
      <w:r w:rsidR="007B688B">
        <w:t>GtC</w:t>
      </w:r>
      <w:proofErr w:type="spellEnd"/>
      <w:r w:rsidR="007B688B">
        <w:t>, so the IPCC says that most of the carbon in those pools needs to stay in those pools and stay out of the atmosphere.</w:t>
      </w:r>
    </w:p>
    <w:p w14:paraId="16B8638F" w14:textId="43F05325" w:rsidR="00B61A60" w:rsidRDefault="0033448B">
      <w:pPr>
        <w:pStyle w:val="standard"/>
        <w:rPr>
          <w:noProof/>
        </w:rPr>
      </w:pPr>
      <w:r w:rsidRPr="00FA759E">
        <w:rPr>
          <w:noProof/>
        </w:rPr>
        <w:drawing>
          <wp:anchor distT="0" distB="0" distL="114300" distR="114300" simplePos="0" relativeHeight="251660288" behindDoc="0" locked="0" layoutInCell="1" allowOverlap="1" wp14:anchorId="118DC8A3" wp14:editId="01D20452">
            <wp:simplePos x="0" y="0"/>
            <wp:positionH relativeFrom="column">
              <wp:posOffset>1973580</wp:posOffset>
            </wp:positionH>
            <wp:positionV relativeFrom="paragraph">
              <wp:posOffset>236855</wp:posOffset>
            </wp:positionV>
            <wp:extent cx="3987800" cy="2160905"/>
            <wp:effectExtent l="12700" t="12700" r="12700" b="1079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bwMode="auto">
                    <a:xfrm>
                      <a:off x="0" y="0"/>
                      <a:ext cx="3987800" cy="216090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61A60">
        <w:t>The size of the atmospheric carbon pool will depend on the balance among the t</w:t>
      </w:r>
      <w:r w:rsidR="00A16048">
        <w:t>h</w:t>
      </w:r>
      <w:r w:rsidR="00B61A60">
        <w:t xml:space="preserve">ree carbon fluxes </w:t>
      </w:r>
      <w:r w:rsidR="00071A1A">
        <w:t>that go into and out of the atmospheric pool.  The fluxes are measured in gigatons of carbon per year (</w:t>
      </w:r>
      <w:proofErr w:type="spellStart"/>
      <w:r w:rsidR="00071A1A">
        <w:t>GtC</w:t>
      </w:r>
      <w:proofErr w:type="spellEnd"/>
      <w:r w:rsidR="00071A1A">
        <w:t>/</w:t>
      </w:r>
      <w:proofErr w:type="spellStart"/>
      <w:r w:rsidR="00071A1A">
        <w:t>yr</w:t>
      </w:r>
      <w:proofErr w:type="spellEnd"/>
      <w:r w:rsidR="00071A1A">
        <w:t xml:space="preserve">). The initial values in the Global Computer Model (about 120 </w:t>
      </w:r>
      <w:proofErr w:type="spellStart"/>
      <w:r w:rsidR="00071A1A">
        <w:t>GtC</w:t>
      </w:r>
      <w:proofErr w:type="spellEnd"/>
      <w:r w:rsidR="00071A1A">
        <w:t>/</w:t>
      </w:r>
      <w:proofErr w:type="spellStart"/>
      <w:r w:rsidR="00071A1A">
        <w:t>yr</w:t>
      </w:r>
      <w:proofErr w:type="spellEnd"/>
      <w:r w:rsidR="00071A1A">
        <w:t xml:space="preserve"> for photosynthesis, about 119.6 </w:t>
      </w:r>
      <w:proofErr w:type="spellStart"/>
      <w:r w:rsidR="00071A1A">
        <w:t>GtC</w:t>
      </w:r>
      <w:proofErr w:type="spellEnd"/>
      <w:r w:rsidR="00071A1A">
        <w:t>/</w:t>
      </w:r>
      <w:proofErr w:type="spellStart"/>
      <w:r w:rsidR="00071A1A">
        <w:t>yr</w:t>
      </w:r>
      <w:proofErr w:type="spellEnd"/>
      <w:r w:rsidR="00071A1A">
        <w:t xml:space="preserve"> for cellular respiration, about 6.5 </w:t>
      </w:r>
      <w:proofErr w:type="spellStart"/>
      <w:r w:rsidR="00071A1A">
        <w:t>GtC</w:t>
      </w:r>
      <w:proofErr w:type="spellEnd"/>
      <w:r w:rsidR="00071A1A">
        <w:t>/</w:t>
      </w:r>
      <w:proofErr w:type="spellStart"/>
      <w:r w:rsidR="00071A1A">
        <w:t>yr</w:t>
      </w:r>
      <w:proofErr w:type="spellEnd"/>
      <w:r w:rsidR="00071A1A">
        <w:t xml:space="preserve"> for fossil fuel combustion) are about the size of these fluxes in 2017.</w:t>
      </w:r>
      <w:r w:rsidR="00071A1A" w:rsidRPr="00CB429C">
        <w:rPr>
          <w:noProof/>
        </w:rPr>
        <w:t xml:space="preserve"> </w:t>
      </w:r>
    </w:p>
    <w:p w14:paraId="311AACD6" w14:textId="66669C0D" w:rsidR="00FA759E" w:rsidRDefault="00293739">
      <w:pPr>
        <w:pStyle w:val="standard"/>
      </w:pPr>
      <w:r>
        <w:rPr>
          <w:noProof/>
        </w:rPr>
        <w:t xml:space="preserve">The photosynthesis and cellular respiration fluxes are much larger than the fossil fuel combustion flux, but for a full year they are almost exactly balanced. </w:t>
      </w:r>
      <w:r w:rsidR="000A7AF3">
        <w:rPr>
          <w:noProof/>
        </w:rPr>
        <w:t>So the relatively small combustion flux can have a big effect on how the atmosphere changes from one year to the next—the long-term trend in the Keeling Curve.</w:t>
      </w:r>
    </w:p>
    <w:p w14:paraId="237DE368" w14:textId="65DECF6A" w:rsidR="00C90F46" w:rsidRDefault="00B82234" w:rsidP="00F16F84">
      <w:pPr>
        <w:pStyle w:val="Heading2"/>
      </w:pPr>
      <w:r>
        <w:lastRenderedPageBreak/>
        <w:t>Making Predictions with the Global Computer Model</w:t>
      </w:r>
    </w:p>
    <w:p w14:paraId="35F6D30A" w14:textId="7EC1631F" w:rsidR="00C90F46" w:rsidRDefault="00422EBE">
      <w:pPr>
        <w:pStyle w:val="standard"/>
      </w:pPr>
      <w:r>
        <w:t xml:space="preserve">There’s one pool that we really care about </w:t>
      </w:r>
      <w:r w:rsidR="00987851">
        <w:t>in the Global Computer Model: The Atmospheric CO</w:t>
      </w:r>
      <w:r w:rsidR="00987851" w:rsidRPr="00F16F84">
        <w:rPr>
          <w:vertAlign w:val="subscript"/>
        </w:rPr>
        <w:t>2</w:t>
      </w:r>
      <w:r w:rsidR="00987851">
        <w:t xml:space="preserve"> Pool, because it drives global climate change.  We also have an estimate of the “tipping point”—the size of the Atmospheric CO</w:t>
      </w:r>
      <w:r w:rsidR="00987851" w:rsidRPr="00046502">
        <w:rPr>
          <w:vertAlign w:val="subscript"/>
        </w:rPr>
        <w:t>2</w:t>
      </w:r>
      <w:r w:rsidR="00987851">
        <w:t xml:space="preserve"> Pool that will drive severe rather than moderate climate change: 1100 </w:t>
      </w:r>
      <w:proofErr w:type="spellStart"/>
      <w:r w:rsidR="00987851">
        <w:t>GtC</w:t>
      </w:r>
      <w:proofErr w:type="spellEnd"/>
      <w:r w:rsidR="00987851">
        <w:t xml:space="preserve">.  </w:t>
      </w:r>
    </w:p>
    <w:p w14:paraId="65E39A91" w14:textId="2396BF18" w:rsidR="005141C2" w:rsidRDefault="005141C2">
      <w:pPr>
        <w:pStyle w:val="standard"/>
      </w:pPr>
      <w:r>
        <w:t>Humans can’t just decide to make the carbon pools larger or smaller, so the size of the Atmospheric CO</w:t>
      </w:r>
      <w:r w:rsidRPr="00046502">
        <w:rPr>
          <w:vertAlign w:val="subscript"/>
        </w:rPr>
        <w:t>2</w:t>
      </w:r>
      <w:r>
        <w:t xml:space="preserve"> Pool in 2017, at the beginning of the Global Computer Model, can’t be changed.  Its value—850 </w:t>
      </w:r>
      <w:proofErr w:type="spellStart"/>
      <w:r>
        <w:t>GtC</w:t>
      </w:r>
      <w:proofErr w:type="spellEnd"/>
      <w:r>
        <w:t xml:space="preserve">—is the actual value that scientists have calculated from their observations.  </w:t>
      </w:r>
    </w:p>
    <w:p w14:paraId="73ABDEFF" w14:textId="45DEA791" w:rsidR="005141C2" w:rsidRDefault="005141C2">
      <w:pPr>
        <w:pStyle w:val="standard"/>
      </w:pPr>
      <w:r>
        <w:t>But humans CAN change what happens to the Atmospheric CO</w:t>
      </w:r>
      <w:r w:rsidRPr="00046502">
        <w:rPr>
          <w:vertAlign w:val="subscript"/>
        </w:rPr>
        <w:t>2</w:t>
      </w:r>
      <w:r>
        <w:t xml:space="preserve"> Pool in the future by changing the fluxes—photosynthesis, cellular respiration, and fossil fuel combustion—that move carbon atoms into or out of the Atmospheric CO</w:t>
      </w:r>
      <w:r w:rsidRPr="00046502">
        <w:rPr>
          <w:vertAlign w:val="subscript"/>
        </w:rPr>
        <w:t>2</w:t>
      </w:r>
      <w:r>
        <w:t xml:space="preserve"> Pool.  </w:t>
      </w:r>
      <w:r w:rsidR="00211FC8">
        <w:t>Here’s what you can change:</w:t>
      </w:r>
    </w:p>
    <w:tbl>
      <w:tblPr>
        <w:tblStyle w:val="TableGrid"/>
        <w:tblW w:w="0" w:type="auto"/>
        <w:tblLook w:val="04A0" w:firstRow="1" w:lastRow="0" w:firstColumn="1" w:lastColumn="0" w:noHBand="0" w:noVBand="1"/>
      </w:tblPr>
      <w:tblGrid>
        <w:gridCol w:w="4788"/>
        <w:gridCol w:w="4788"/>
      </w:tblGrid>
      <w:tr w:rsidR="00EC4989" w14:paraId="67F60396" w14:textId="77777777" w:rsidTr="00211FC8">
        <w:tc>
          <w:tcPr>
            <w:tcW w:w="4788" w:type="dxa"/>
          </w:tcPr>
          <w:p w14:paraId="589F2FDA" w14:textId="54C14214" w:rsidR="00211FC8" w:rsidRDefault="00EC4989" w:rsidP="00211FC8">
            <w:r w:rsidRPr="00EC4989">
              <w:rPr>
                <w:noProof/>
              </w:rPr>
              <w:drawing>
                <wp:inline distT="0" distB="0" distL="0" distR="0" wp14:anchorId="1510EB16" wp14:editId="0085DE94">
                  <wp:extent cx="2878455" cy="2202455"/>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bwMode="auto">
                          <a:xfrm>
                            <a:off x="0" y="0"/>
                            <a:ext cx="2886873" cy="2208896"/>
                          </a:xfrm>
                          <a:prstGeom prst="rect">
                            <a:avLst/>
                          </a:prstGeom>
                          <a:ln>
                            <a:noFill/>
                          </a:ln>
                          <a:extLst>
                            <a:ext uri="{53640926-AAD7-44D8-BBD7-CCE9431645EC}">
                              <a14:shadowObscured xmlns:a14="http://schemas.microsoft.com/office/drawing/2010/main"/>
                            </a:ext>
                          </a:extLst>
                        </pic:spPr>
                      </pic:pic>
                    </a:graphicData>
                  </a:graphic>
                </wp:inline>
              </w:drawing>
            </w:r>
          </w:p>
        </w:tc>
        <w:tc>
          <w:tcPr>
            <w:tcW w:w="4788" w:type="dxa"/>
          </w:tcPr>
          <w:p w14:paraId="6DFB97A8" w14:textId="40E38FD7" w:rsidR="00211FC8" w:rsidRDefault="00EC4989" w:rsidP="00211FC8">
            <w:r w:rsidRPr="00EC4989">
              <w:rPr>
                <w:noProof/>
              </w:rPr>
              <w:drawing>
                <wp:inline distT="0" distB="0" distL="0" distR="0" wp14:anchorId="75120B4F" wp14:editId="47F8059C">
                  <wp:extent cx="2869949" cy="2168525"/>
                  <wp:effectExtent l="0" t="0" r="635"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bwMode="auto">
                          <a:xfrm>
                            <a:off x="0" y="0"/>
                            <a:ext cx="2873180" cy="2170967"/>
                          </a:xfrm>
                          <a:prstGeom prst="rect">
                            <a:avLst/>
                          </a:prstGeom>
                          <a:ln>
                            <a:noFill/>
                          </a:ln>
                          <a:extLst>
                            <a:ext uri="{53640926-AAD7-44D8-BBD7-CCE9431645EC}">
                              <a14:shadowObscured xmlns:a14="http://schemas.microsoft.com/office/drawing/2010/main"/>
                            </a:ext>
                          </a:extLst>
                        </pic:spPr>
                      </pic:pic>
                    </a:graphicData>
                  </a:graphic>
                </wp:inline>
              </w:drawing>
            </w:r>
          </w:p>
        </w:tc>
      </w:tr>
    </w:tbl>
    <w:p w14:paraId="1752283F" w14:textId="77777777" w:rsidR="00211FC8" w:rsidRDefault="00211FC8" w:rsidP="00F16F84"/>
    <w:p w14:paraId="0C30CCDE" w14:textId="19575D81" w:rsidR="003A723E" w:rsidRDefault="005136CC">
      <w:pPr>
        <w:pStyle w:val="standard"/>
      </w:pPr>
      <w:r>
        <w:rPr>
          <w:b/>
        </w:rPr>
        <w:t xml:space="preserve">Reading the results. </w:t>
      </w:r>
      <w:r>
        <w:t xml:space="preserve">When you click the Run button, you can see the results in both a graph and a table.  </w:t>
      </w:r>
      <w:r w:rsidR="004C1075">
        <w:t xml:space="preserve">You can use the slider on the graph to show the </w:t>
      </w:r>
      <w:r w:rsidR="00EA5C3C">
        <w:t>results for a particular year on the table.</w:t>
      </w:r>
    </w:p>
    <w:tbl>
      <w:tblPr>
        <w:tblStyle w:val="TableGrid"/>
        <w:tblW w:w="0" w:type="auto"/>
        <w:tblLook w:val="04A0" w:firstRow="1" w:lastRow="0" w:firstColumn="1" w:lastColumn="0" w:noHBand="0" w:noVBand="1"/>
      </w:tblPr>
      <w:tblGrid>
        <w:gridCol w:w="5736"/>
        <w:gridCol w:w="3840"/>
      </w:tblGrid>
      <w:tr w:rsidR="00EA5C3C" w14:paraId="71CB02E6" w14:textId="77777777" w:rsidTr="00EA5C3C">
        <w:tc>
          <w:tcPr>
            <w:tcW w:w="4788" w:type="dxa"/>
          </w:tcPr>
          <w:p w14:paraId="5BD6E2FF" w14:textId="6A56A4FE" w:rsidR="00EA5C3C" w:rsidRDefault="00EA5C3C" w:rsidP="00EA5C3C">
            <w:r w:rsidRPr="00EA5C3C">
              <w:rPr>
                <w:noProof/>
              </w:rPr>
              <w:drawing>
                <wp:inline distT="0" distB="0" distL="0" distR="0" wp14:anchorId="19048169" wp14:editId="4899C32C">
                  <wp:extent cx="3504837" cy="1488897"/>
                  <wp:effectExtent l="0" t="0" r="63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bwMode="auto">
                          <a:xfrm>
                            <a:off x="0" y="0"/>
                            <a:ext cx="3504837" cy="1488897"/>
                          </a:xfrm>
                          <a:prstGeom prst="rect">
                            <a:avLst/>
                          </a:prstGeom>
                          <a:ln>
                            <a:noFill/>
                          </a:ln>
                          <a:extLst>
                            <a:ext uri="{53640926-AAD7-44D8-BBD7-CCE9431645EC}">
                              <a14:shadowObscured xmlns:a14="http://schemas.microsoft.com/office/drawing/2010/main"/>
                            </a:ext>
                          </a:extLst>
                        </pic:spPr>
                      </pic:pic>
                    </a:graphicData>
                  </a:graphic>
                </wp:inline>
              </w:drawing>
            </w:r>
          </w:p>
        </w:tc>
        <w:tc>
          <w:tcPr>
            <w:tcW w:w="4788" w:type="dxa"/>
          </w:tcPr>
          <w:p w14:paraId="5DCF3903" w14:textId="1F20B875" w:rsidR="00EA5C3C" w:rsidRDefault="00EA5C3C" w:rsidP="00EA5C3C">
            <w:r w:rsidRPr="00EA5C3C">
              <w:rPr>
                <w:noProof/>
              </w:rPr>
              <w:drawing>
                <wp:inline distT="0" distB="0" distL="0" distR="0" wp14:anchorId="4551358C" wp14:editId="64167260">
                  <wp:extent cx="2158279" cy="1455981"/>
                  <wp:effectExtent l="0" t="0" r="127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bwMode="auto">
                          <a:xfrm>
                            <a:off x="0" y="0"/>
                            <a:ext cx="2158279" cy="1455981"/>
                          </a:xfrm>
                          <a:prstGeom prst="rect">
                            <a:avLst/>
                          </a:prstGeom>
                          <a:ln>
                            <a:noFill/>
                          </a:ln>
                          <a:extLst>
                            <a:ext uri="{53640926-AAD7-44D8-BBD7-CCE9431645EC}">
                              <a14:shadowObscured xmlns:a14="http://schemas.microsoft.com/office/drawing/2010/main"/>
                            </a:ext>
                          </a:extLst>
                        </pic:spPr>
                      </pic:pic>
                    </a:graphicData>
                  </a:graphic>
                </wp:inline>
              </w:drawing>
            </w:r>
          </w:p>
        </w:tc>
      </w:tr>
    </w:tbl>
    <w:p w14:paraId="23DE11A3" w14:textId="77777777" w:rsidR="00EA5C3C" w:rsidRPr="005136CC" w:rsidRDefault="00EA5C3C" w:rsidP="00F16F84"/>
    <w:p w14:paraId="78D3DFA0" w14:textId="519338E3" w:rsidR="00EC4989" w:rsidRDefault="00EC4989">
      <w:pPr>
        <w:pStyle w:val="standard"/>
      </w:pPr>
      <w:r>
        <w:t xml:space="preserve">So now it’s time </w:t>
      </w:r>
      <w:r w:rsidR="00D84D17">
        <w:t xml:space="preserve">to try some different scenarios yourself.  </w:t>
      </w:r>
      <w:r w:rsidR="001011BB">
        <w:t xml:space="preserve">Try the values on the Global Computer Model Worksheet and see what patterns you find! </w:t>
      </w:r>
    </w:p>
    <w:p w14:paraId="5195FB38" w14:textId="254A4A2E" w:rsidR="00877E1C" w:rsidRDefault="00877E1C" w:rsidP="00F16F84">
      <w:pPr>
        <w:pStyle w:val="Heading2"/>
      </w:pPr>
      <w:r>
        <w:t>The Balance Between Photosynthesis and Cellular Respiration</w:t>
      </w:r>
    </w:p>
    <w:p w14:paraId="01D36159" w14:textId="50FE31C9" w:rsidR="00877E1C" w:rsidRDefault="00877E1C">
      <w:pPr>
        <w:pStyle w:val="standard"/>
      </w:pPr>
      <w:r>
        <w:t xml:space="preserve">The </w:t>
      </w:r>
      <w:r w:rsidR="00BE29F6">
        <w:t>P</w:t>
      </w:r>
      <w:r>
        <w:t xml:space="preserve">hotosynthesis and </w:t>
      </w:r>
      <w:r w:rsidR="00BE29F6">
        <w:t>C</w:t>
      </w:r>
      <w:r>
        <w:t xml:space="preserve">ellular </w:t>
      </w:r>
      <w:r w:rsidR="00BE29F6">
        <w:t>R</w:t>
      </w:r>
      <w:r>
        <w:t xml:space="preserve">espiration </w:t>
      </w:r>
      <w:r w:rsidR="00BE29F6">
        <w:t>F</w:t>
      </w:r>
      <w:r>
        <w:t>luxes are almost exactly balanced</w:t>
      </w:r>
      <w:r w:rsidR="00BE29F6">
        <w:t>.  The model shows that if we could make the Photosynthesis Flux just a little larger than the cellular respiration flux, that would make a big difference in the growth of the Atmospheric CO</w:t>
      </w:r>
      <w:r w:rsidR="00BE29F6" w:rsidRPr="00180E07">
        <w:rPr>
          <w:vertAlign w:val="subscript"/>
        </w:rPr>
        <w:t>2</w:t>
      </w:r>
      <w:r w:rsidR="00BE29F6">
        <w:t xml:space="preserve"> Pool.  But can we really do that?  In the short term those fluxes can be out of balance—the seasonal </w:t>
      </w:r>
      <w:r w:rsidR="00BE29F6">
        <w:lastRenderedPageBreak/>
        <w:t xml:space="preserve">differences in the Photosynthesis Flux drive the annual cycle in the Keeling Curve.  </w:t>
      </w:r>
      <w:r w:rsidR="007A65A8">
        <w:t>But in the longer term, these two fluxes will stay pretty closely balanced.  Here’s why.</w:t>
      </w:r>
    </w:p>
    <w:p w14:paraId="308DF509" w14:textId="0A437AF1" w:rsidR="007A65A8" w:rsidRDefault="007A65A8" w:rsidP="00F16F84">
      <w:pPr>
        <w:pStyle w:val="ListParagraph"/>
      </w:pPr>
      <w:r>
        <w:t>Suppose we increase the photosynthesis flux (for example by planting a lot of trees all over the Earth).  Since those are living plants, they will also need to engage in cellular respiration.  The growing plants will also provide more food for animals and decomposers, so their larger populations will also increase the Cellular Respiration Flux.  So</w:t>
      </w:r>
      <w:r w:rsidR="00781A47">
        <w:t>,</w:t>
      </w:r>
      <w:r>
        <w:t xml:space="preserve"> the two fluxes will eventually come back into balance.</w:t>
      </w:r>
    </w:p>
    <w:p w14:paraId="6310F3D0" w14:textId="082839F1" w:rsidR="007A65A8" w:rsidRDefault="007A65A8" w:rsidP="00F16F84">
      <w:pPr>
        <w:pStyle w:val="ListParagraph"/>
      </w:pPr>
      <w:r>
        <w:t xml:space="preserve">Suppose we try to decrease the Cellular Respiration Flux. Most cellular respiration is done by </w:t>
      </w:r>
      <w:r w:rsidR="00781A47">
        <w:t>plants but</w:t>
      </w:r>
      <w:r>
        <w:t xml:space="preserve"> decreasing cellular respiration by plants will also decrease photosynthesis.  Decreasing cellular respiration by animals and decomposers will also </w:t>
      </w:r>
      <w:r w:rsidR="007E55A8">
        <w:t>reduce photosynthesis in the long run, since plants rely on animals and decomposers to recycle soil nutrients.</w:t>
      </w:r>
    </w:p>
    <w:p w14:paraId="62D86315" w14:textId="59D01F5B" w:rsidR="007E55A8" w:rsidRPr="00C54391" w:rsidRDefault="007E55A8">
      <w:pPr>
        <w:pStyle w:val="standard"/>
      </w:pPr>
      <w:r>
        <w:t>So</w:t>
      </w:r>
      <w:r w:rsidR="00781A47">
        <w:t>,</w:t>
      </w:r>
      <w:r>
        <w:t xml:space="preserve"> </w:t>
      </w:r>
      <w:r w:rsidR="00073EC4">
        <w:t>in the long run the size of the Atmospheric CO</w:t>
      </w:r>
      <w:r w:rsidR="00073EC4" w:rsidRPr="00180E07">
        <w:rPr>
          <w:vertAlign w:val="subscript"/>
        </w:rPr>
        <w:t>2</w:t>
      </w:r>
      <w:r w:rsidR="00073EC4">
        <w:t xml:space="preserve"> Pool will be determined mostly by how fast humans burn fossil fuels.  In Lesson 5 you will study how our lifestyles depend on combustion of fossil fuels and think about what changes we could make.</w:t>
      </w:r>
    </w:p>
    <w:p w14:paraId="70D1F821" w14:textId="04DE1F95" w:rsidR="004C7DE2" w:rsidRDefault="004C7DE2" w:rsidP="00F16F84">
      <w:pPr>
        <w:pStyle w:val="Heading2"/>
      </w:pPr>
      <w:r>
        <w:t>Digging deeper</w:t>
      </w:r>
    </w:p>
    <w:p w14:paraId="55205BEA" w14:textId="36BADC17" w:rsidR="004C7DE2" w:rsidRDefault="004C7DE2" w:rsidP="00F16F84">
      <w:pPr>
        <w:pStyle w:val="standard"/>
      </w:pPr>
      <w:r>
        <w:t xml:space="preserve">Here are some ways to learn more about </w:t>
      </w:r>
      <w:r w:rsidR="007B688B">
        <w:t>how carbon pools and fluxes in Earth systems are changing</w:t>
      </w:r>
    </w:p>
    <w:p w14:paraId="473E6F62" w14:textId="49541081" w:rsidR="00157519" w:rsidRDefault="00157519" w:rsidP="00F16F84">
      <w:pPr>
        <w:pStyle w:val="ListParagraph"/>
      </w:pPr>
      <w:r>
        <w:t>Read about the likely effects of global warming of 1.5</w:t>
      </w:r>
      <w:r w:rsidRPr="00F16F84">
        <w:rPr>
          <w:vertAlign w:val="superscript"/>
        </w:rPr>
        <w:t>o</w:t>
      </w:r>
      <w:r>
        <w:t>C and 2.0</w:t>
      </w:r>
      <w:r w:rsidRPr="00F16F84">
        <w:rPr>
          <w:vertAlign w:val="superscript"/>
        </w:rPr>
        <w:t>o</w:t>
      </w:r>
      <w:r>
        <w:t xml:space="preserve">C: </w:t>
      </w:r>
      <w:hyperlink r:id="rId15" w:history="1">
        <w:r w:rsidRPr="00AA2CAA">
          <w:rPr>
            <w:rStyle w:val="Hyperlink"/>
          </w:rPr>
          <w:t>https://nyti.ms/2</w:t>
        </w:r>
        <w:r w:rsidRPr="00AA2CAA">
          <w:rPr>
            <w:rStyle w:val="Hyperlink"/>
          </w:rPr>
          <w:t>I</w:t>
        </w:r>
        <w:r w:rsidRPr="00AA2CAA">
          <w:rPr>
            <w:rStyle w:val="Hyperlink"/>
          </w:rPr>
          <w:t>HTSIO</w:t>
        </w:r>
      </w:hyperlink>
      <w:r>
        <w:t xml:space="preserve"> </w:t>
      </w:r>
    </w:p>
    <w:p w14:paraId="2D879096" w14:textId="77777777" w:rsidR="008C50CD" w:rsidRDefault="00840E7F" w:rsidP="00F16F84">
      <w:pPr>
        <w:pStyle w:val="ListParagraph"/>
      </w:pPr>
      <w:r>
        <w:t>Read about the effects of a 2</w:t>
      </w:r>
      <w:r w:rsidR="00114A75">
        <w:t>.0</w:t>
      </w:r>
      <w:r w:rsidR="00114A75" w:rsidRPr="004910B2">
        <w:rPr>
          <w:vertAlign w:val="superscript"/>
        </w:rPr>
        <w:t>o</w:t>
      </w:r>
      <w:r>
        <w:t xml:space="preserve"> and 4</w:t>
      </w:r>
      <w:r w:rsidR="00114A75">
        <w:t>.0</w:t>
      </w:r>
      <w:r w:rsidR="00114A75" w:rsidRPr="004910B2">
        <w:rPr>
          <w:vertAlign w:val="superscript"/>
        </w:rPr>
        <w:t>o</w:t>
      </w:r>
      <w:r>
        <w:t>C</w:t>
      </w:r>
      <w:r w:rsidR="00AC23E7">
        <w:t xml:space="preserve"> </w:t>
      </w:r>
      <w:r w:rsidR="008C50CD">
        <w:t>change in climate here!</w:t>
      </w:r>
    </w:p>
    <w:p w14:paraId="1C5BADEA" w14:textId="77777777" w:rsidR="008C50CD" w:rsidRDefault="0054526B" w:rsidP="00F16F84">
      <w:pPr>
        <w:pStyle w:val="ListParagraph"/>
      </w:pPr>
      <w:hyperlink r:id="rId16" w:history="1">
        <w:r w:rsidR="008C50CD" w:rsidRPr="008C50CD">
          <w:rPr>
            <w:rStyle w:val="Hyperlink"/>
          </w:rPr>
          <w:t>https://www.c</w:t>
        </w:r>
        <w:r w:rsidR="008C50CD" w:rsidRPr="008C50CD">
          <w:rPr>
            <w:rStyle w:val="Hyperlink"/>
          </w:rPr>
          <w:t>b</w:t>
        </w:r>
        <w:r w:rsidR="008C50CD" w:rsidRPr="008C50CD">
          <w:rPr>
            <w:rStyle w:val="Hyperlink"/>
          </w:rPr>
          <w:t>c.ca/news2/interactives/2degrees/?utm_source=hootsuite</w:t>
        </w:r>
      </w:hyperlink>
    </w:p>
    <w:p w14:paraId="4861D383" w14:textId="430D5693" w:rsidR="008D71C8" w:rsidRPr="008D71C8" w:rsidRDefault="008D71C8" w:rsidP="008D71C8">
      <w:pPr>
        <w:pStyle w:val="ListParagraph"/>
      </w:pPr>
      <w:r>
        <w:t xml:space="preserve">Watch a video on coal mines here: </w:t>
      </w:r>
      <w:r w:rsidRPr="008D71C8">
        <w:t> </w:t>
      </w:r>
      <w:hyperlink r:id="rId17" w:history="1">
        <w:r w:rsidRPr="008D71C8">
          <w:rPr>
            <w:rStyle w:val="Hyperlink"/>
          </w:rPr>
          <w:t>https://www.youtu</w:t>
        </w:r>
        <w:r w:rsidRPr="008D71C8">
          <w:rPr>
            <w:rStyle w:val="Hyperlink"/>
          </w:rPr>
          <w:t>b</w:t>
        </w:r>
        <w:r w:rsidRPr="008D71C8">
          <w:rPr>
            <w:rStyle w:val="Hyperlink"/>
          </w:rPr>
          <w:t>e.com/watch?v=ylkdUuNOJzw</w:t>
        </w:r>
      </w:hyperlink>
    </w:p>
    <w:p w14:paraId="13AD2BCD" w14:textId="244A1058" w:rsidR="00534422" w:rsidRDefault="003B50F8" w:rsidP="00F16F84">
      <w:pPr>
        <w:pStyle w:val="ListParagraph"/>
      </w:pPr>
      <w:r>
        <w:t>The Global Climate Action Summit released a “road map” of the actions that humans would have to take to keep global warming less than 2</w:t>
      </w:r>
      <w:r w:rsidRPr="00F16F84">
        <w:rPr>
          <w:vertAlign w:val="superscript"/>
        </w:rPr>
        <w:t>o</w:t>
      </w:r>
      <w:r>
        <w:t xml:space="preserve">C: </w:t>
      </w:r>
      <w:hyperlink r:id="rId18" w:history="1">
        <w:r w:rsidRPr="00921EE8">
          <w:rPr>
            <w:rStyle w:val="Hyperlink"/>
          </w:rPr>
          <w:t>http://exponentialro</w:t>
        </w:r>
        <w:r w:rsidRPr="00921EE8">
          <w:rPr>
            <w:rStyle w:val="Hyperlink"/>
          </w:rPr>
          <w:t>a</w:t>
        </w:r>
        <w:r w:rsidRPr="00921EE8">
          <w:rPr>
            <w:rStyle w:val="Hyperlink"/>
          </w:rPr>
          <w:t>dmap.fu</w:t>
        </w:r>
        <w:r w:rsidRPr="00921EE8">
          <w:rPr>
            <w:rStyle w:val="Hyperlink"/>
          </w:rPr>
          <w:t>t</w:t>
        </w:r>
        <w:r w:rsidRPr="00921EE8">
          <w:rPr>
            <w:rStyle w:val="Hyperlink"/>
          </w:rPr>
          <w:t>ureearth.org/</w:t>
        </w:r>
      </w:hyperlink>
      <w:r>
        <w:t xml:space="preserve"> </w:t>
      </w:r>
    </w:p>
    <w:p w14:paraId="6F79AAED" w14:textId="101AB0EA" w:rsidR="00CE4B7B" w:rsidRDefault="00CE4B7B" w:rsidP="00F16F84">
      <w:pPr>
        <w:pStyle w:val="ListParagraph"/>
      </w:pPr>
      <w:r>
        <w:t xml:space="preserve">Read about how scientists are using an ice core from a glacier in the Alps to trace when Europeans started burning more coal: </w:t>
      </w:r>
      <w:hyperlink r:id="rId19" w:history="1">
        <w:r w:rsidRPr="00857826">
          <w:rPr>
            <w:rStyle w:val="Hyperlink"/>
          </w:rPr>
          <w:t>https://nyti.ms/2</w:t>
        </w:r>
        <w:r w:rsidRPr="00857826">
          <w:rPr>
            <w:rStyle w:val="Hyperlink"/>
          </w:rPr>
          <w:t>D</w:t>
        </w:r>
        <w:r w:rsidRPr="00857826">
          <w:rPr>
            <w:rStyle w:val="Hyperlink"/>
          </w:rPr>
          <w:t>5qo8u</w:t>
        </w:r>
      </w:hyperlink>
      <w:r>
        <w:t xml:space="preserve"> </w:t>
      </w:r>
    </w:p>
    <w:p w14:paraId="319E4276" w14:textId="00C0D78C" w:rsidR="008D71C8" w:rsidRPr="008D71C8" w:rsidRDefault="00FF5F38" w:rsidP="008D71C8">
      <w:pPr>
        <w:pStyle w:val="ListParagraph"/>
        <w:rPr>
          <w:color w:val="000000" w:themeColor="text1"/>
        </w:rPr>
      </w:pPr>
      <w:r w:rsidRPr="008D71C8">
        <w:rPr>
          <w:color w:val="000000" w:themeColor="text1"/>
        </w:rPr>
        <w:t xml:space="preserve">Read about how the Intergovernmental Panel on Climate Change (IPCC) is working to define the “tipping point” between moderate and severe climate change </w:t>
      </w:r>
      <w:r w:rsidR="000E6CC1" w:rsidRPr="008D71C8">
        <w:rPr>
          <w:color w:val="000000" w:themeColor="text1"/>
        </w:rPr>
        <w:t xml:space="preserve">and identify the actions needed to keep the level of climate change moderate: </w:t>
      </w:r>
      <w:hyperlink r:id="rId20" w:history="1">
        <w:r w:rsidR="008D71C8" w:rsidRPr="003505D7">
          <w:rPr>
            <w:rStyle w:val="Hyperlink"/>
          </w:rPr>
          <w:t>https://www.washingtonpost.com/energy-environment/2018/10/03/climate-scientists-are-struggling-find-right-words-v</w:t>
        </w:r>
        <w:bookmarkStart w:id="0" w:name="_GoBack"/>
        <w:bookmarkEnd w:id="0"/>
        <w:r w:rsidR="008D71C8" w:rsidRPr="003505D7">
          <w:rPr>
            <w:rStyle w:val="Hyperlink"/>
          </w:rPr>
          <w:t>e</w:t>
        </w:r>
        <w:r w:rsidR="008D71C8" w:rsidRPr="003505D7">
          <w:rPr>
            <w:rStyle w:val="Hyperlink"/>
          </w:rPr>
          <w:t>ry-bad-news/?noredirect=on&amp;utm_term=.2ae899713e30</w:t>
        </w:r>
      </w:hyperlink>
    </w:p>
    <w:p w14:paraId="2432D314" w14:textId="1A5B0A13" w:rsidR="003C00AD" w:rsidRDefault="003C00AD" w:rsidP="008D71C8">
      <w:pPr>
        <w:pStyle w:val="ListParagraph"/>
        <w:numPr>
          <w:ilvl w:val="0"/>
          <w:numId w:val="0"/>
        </w:numPr>
        <w:ind w:left="720"/>
      </w:pPr>
    </w:p>
    <w:p w14:paraId="7DBC2A97" w14:textId="77777777" w:rsidR="007B688B" w:rsidRDefault="007B688B" w:rsidP="00F16F84">
      <w:pPr>
        <w:pStyle w:val="standard"/>
      </w:pPr>
    </w:p>
    <w:p w14:paraId="6008FEDE" w14:textId="77777777" w:rsidR="00FF1323" w:rsidRPr="0036794F" w:rsidRDefault="00FF1323" w:rsidP="00F16F84">
      <w:pPr>
        <w:pStyle w:val="standard"/>
      </w:pPr>
    </w:p>
    <w:sectPr w:rsidR="00FF1323" w:rsidRPr="0036794F" w:rsidSect="001B6802">
      <w:footerReference w:type="default" r:id="rId21"/>
      <w:headerReference w:type="first" r:id="rId22"/>
      <w:footerReference w:type="first" r:id="rId23"/>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B2BE83" w14:textId="77777777" w:rsidR="0054526B" w:rsidRDefault="0054526B">
      <w:r>
        <w:separator/>
      </w:r>
    </w:p>
  </w:endnote>
  <w:endnote w:type="continuationSeparator" w:id="0">
    <w:p w14:paraId="25FF45A6" w14:textId="77777777" w:rsidR="0054526B" w:rsidRDefault="005452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New York">
    <w:altName w:val="Times New Roman"/>
    <w:panose1 w:val="020B0604020202020204"/>
    <w:charset w:val="4D"/>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032568" w14:textId="7501F9A6" w:rsidR="00F538F4" w:rsidRPr="001B6802" w:rsidRDefault="005D1E74" w:rsidP="00F538F4">
    <w:pPr>
      <w:pStyle w:val="Footer"/>
      <w:spacing w:after="0"/>
      <w:jc w:val="right"/>
      <w:rPr>
        <w:i/>
        <w:color w:val="000000" w:themeColor="text1"/>
        <w:sz w:val="16"/>
        <w:szCs w:val="16"/>
      </w:rPr>
    </w:pPr>
    <w:r>
      <w:rPr>
        <w:i/>
        <w:color w:val="000000" w:themeColor="text1"/>
        <w:sz w:val="16"/>
        <w:szCs w:val="16"/>
      </w:rPr>
      <w:t>Human Energy Systems</w:t>
    </w:r>
    <w:r w:rsidR="001B6802" w:rsidRPr="001B6802">
      <w:rPr>
        <w:i/>
        <w:color w:val="000000" w:themeColor="text1"/>
        <w:sz w:val="16"/>
        <w:szCs w:val="16"/>
      </w:rPr>
      <w:t xml:space="preserve"> Unit, Activity 4.4</w:t>
    </w:r>
  </w:p>
  <w:p w14:paraId="7FBEFD8A" w14:textId="77777777" w:rsidR="007F4969" w:rsidRPr="00101A68" w:rsidRDefault="00F538F4" w:rsidP="00101A68">
    <w:pPr>
      <w:pStyle w:val="Footer"/>
      <w:spacing w:after="0"/>
      <w:jc w:val="right"/>
      <w:rPr>
        <w:color w:val="000000" w:themeColor="text1"/>
        <w:sz w:val="16"/>
        <w:szCs w:val="16"/>
      </w:rPr>
    </w:pPr>
    <w:r w:rsidRPr="00F538F4">
      <w:rPr>
        <w:color w:val="000000" w:themeColor="text1"/>
        <w:sz w:val="16"/>
        <w:szCs w:val="16"/>
      </w:rPr>
      <w:fldChar w:fldCharType="begin"/>
    </w:r>
    <w:r w:rsidRPr="00F538F4">
      <w:rPr>
        <w:color w:val="000000" w:themeColor="text1"/>
        <w:sz w:val="16"/>
        <w:szCs w:val="16"/>
      </w:rPr>
      <w:instrText xml:space="preserve"> PAGE  \* MERGEFORMAT </w:instrText>
    </w:r>
    <w:r w:rsidRPr="00F538F4">
      <w:rPr>
        <w:color w:val="000000" w:themeColor="text1"/>
        <w:sz w:val="16"/>
        <w:szCs w:val="16"/>
      </w:rPr>
      <w:fldChar w:fldCharType="separate"/>
    </w:r>
    <w:r w:rsidR="008C50CD">
      <w:rPr>
        <w:noProof/>
        <w:color w:val="000000" w:themeColor="text1"/>
        <w:sz w:val="16"/>
        <w:szCs w:val="16"/>
      </w:rPr>
      <w:t>2</w:t>
    </w:r>
    <w:r w:rsidRPr="00F538F4">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6E65F1" w14:textId="77777777" w:rsidR="007F4969" w:rsidRDefault="007F4969" w:rsidP="007422D2">
    <w:pPr>
      <w:pStyle w:val="Footer"/>
      <w:framePr w:wrap="around" w:vAnchor="text" w:hAnchor="page" w:x="10388" w:y="-161"/>
      <w:rPr>
        <w:rStyle w:val="PageNumber"/>
      </w:rPr>
    </w:pPr>
  </w:p>
  <w:p w14:paraId="03498E18" w14:textId="6BFD5164" w:rsidR="00F538F4" w:rsidRPr="001B6802" w:rsidRDefault="00F538F4" w:rsidP="00F538F4">
    <w:pPr>
      <w:pStyle w:val="Footer"/>
      <w:spacing w:after="0"/>
      <w:jc w:val="right"/>
      <w:rPr>
        <w:i/>
        <w:color w:val="000000" w:themeColor="text1"/>
        <w:sz w:val="16"/>
        <w:szCs w:val="16"/>
      </w:rPr>
    </w:pPr>
    <w:r>
      <w:rPr>
        <w:i/>
        <w:noProof/>
      </w:rPr>
      <w:drawing>
        <wp:anchor distT="0" distB="0" distL="114300" distR="114300" simplePos="0" relativeHeight="251659264" behindDoc="0" locked="0" layoutInCell="1" allowOverlap="1" wp14:anchorId="07E960CB" wp14:editId="1F330525">
          <wp:simplePos x="0" y="0"/>
          <wp:positionH relativeFrom="margin">
            <wp:posOffset>0</wp:posOffset>
          </wp:positionH>
          <wp:positionV relativeFrom="paragraph">
            <wp:posOffset>0</wp:posOffset>
          </wp:positionV>
          <wp:extent cx="1596602" cy="362136"/>
          <wp:effectExtent l="0" t="0" r="3810" b="0"/>
          <wp:wrapNone/>
          <wp:docPr id="5" name="Picture 5"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8B5602">
      <w:rPr>
        <w:i/>
        <w:color w:val="FF0000"/>
        <w:sz w:val="16"/>
        <w:szCs w:val="16"/>
      </w:rPr>
      <w:t xml:space="preserve"> </w:t>
    </w:r>
    <w:r w:rsidR="00AE404C">
      <w:rPr>
        <w:i/>
        <w:color w:val="000000" w:themeColor="text1"/>
        <w:sz w:val="16"/>
        <w:szCs w:val="16"/>
      </w:rPr>
      <w:t>Human Energy Systems</w:t>
    </w:r>
    <w:r w:rsidR="001B6802" w:rsidRPr="001B6802">
      <w:rPr>
        <w:i/>
        <w:color w:val="000000" w:themeColor="text1"/>
        <w:sz w:val="16"/>
        <w:szCs w:val="16"/>
      </w:rPr>
      <w:t xml:space="preserve"> Unit, Activity 4.4</w:t>
    </w:r>
  </w:p>
  <w:p w14:paraId="37DCE365" w14:textId="66B199CF" w:rsidR="00F538F4" w:rsidRPr="001B6802" w:rsidRDefault="00F538F4" w:rsidP="00F538F4">
    <w:pPr>
      <w:pStyle w:val="Footer"/>
      <w:spacing w:after="0"/>
      <w:jc w:val="right"/>
      <w:rPr>
        <w:i/>
        <w:color w:val="000000" w:themeColor="text1"/>
        <w:sz w:val="16"/>
        <w:szCs w:val="16"/>
      </w:rPr>
    </w:pPr>
    <w:r w:rsidRPr="001B6802">
      <w:rPr>
        <w:i/>
        <w:color w:val="000000" w:themeColor="text1"/>
        <w:sz w:val="16"/>
        <w:szCs w:val="16"/>
      </w:rPr>
      <w:t>Carbon: Transformations in Matter and Energy 201</w:t>
    </w:r>
    <w:r w:rsidR="005D1E74">
      <w:rPr>
        <w:i/>
        <w:color w:val="000000" w:themeColor="text1"/>
        <w:sz w:val="16"/>
        <w:szCs w:val="16"/>
      </w:rPr>
      <w:t>9</w:t>
    </w:r>
  </w:p>
  <w:p w14:paraId="68AED390" w14:textId="234A012A" w:rsidR="007F4969" w:rsidRPr="005D5835" w:rsidRDefault="00F538F4" w:rsidP="005D5835">
    <w:pPr>
      <w:pStyle w:val="Footer"/>
      <w:tabs>
        <w:tab w:val="clear" w:pos="4320"/>
        <w:tab w:val="clear" w:pos="8640"/>
        <w:tab w:val="left" w:pos="8160"/>
      </w:tabs>
      <w:jc w:val="right"/>
      <w:rPr>
        <w:color w:val="000000" w:themeColor="text1"/>
      </w:rPr>
    </w:pPr>
    <w:r w:rsidRPr="001B6802">
      <w:rPr>
        <w:i/>
        <w:color w:val="000000" w:themeColor="text1"/>
        <w:sz w:val="16"/>
        <w:szCs w:val="16"/>
      </w:rPr>
      <w:t>Michigan State University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52C401" w14:textId="77777777" w:rsidR="0054526B" w:rsidRDefault="0054526B">
      <w:r>
        <w:separator/>
      </w:r>
    </w:p>
  </w:footnote>
  <w:footnote w:type="continuationSeparator" w:id="0">
    <w:p w14:paraId="11D46ABA" w14:textId="77777777" w:rsidR="0054526B" w:rsidRDefault="0054526B">
      <w:r>
        <w:continuationSeparator/>
      </w:r>
    </w:p>
  </w:footnote>
  <w:footnote w:id="1">
    <w:p w14:paraId="4D4149D7" w14:textId="76A7E061" w:rsidR="00FD7F5F" w:rsidRPr="00F16F84" w:rsidRDefault="00FD7F5F">
      <w:pPr>
        <w:pStyle w:val="FootnoteText"/>
        <w:rPr>
          <w:rFonts w:ascii="Arial" w:hAnsi="Arial" w:cs="Arial"/>
        </w:rPr>
      </w:pPr>
      <w:r>
        <w:rPr>
          <w:rStyle w:val="FootnoteReference"/>
        </w:rPr>
        <w:footnoteRef/>
      </w:r>
      <w:r>
        <w:t xml:space="preserve"> </w:t>
      </w:r>
      <w:r>
        <w:rPr>
          <w:rFonts w:ascii="Arial" w:hAnsi="Arial" w:cs="Arial"/>
        </w:rPr>
        <w:t>The real world has other carbon pools, too, especially in the oceans.  You can learn more about these in Activity 4.5.  The three pools in the Global Computer Model are the ones that are most important for determining the amount of CO</w:t>
      </w:r>
      <w:r w:rsidRPr="00F16F84">
        <w:rPr>
          <w:rFonts w:ascii="Arial" w:hAnsi="Arial" w:cs="Arial"/>
          <w:vertAlign w:val="subscript"/>
        </w:rPr>
        <w:t>2</w:t>
      </w:r>
      <w:r>
        <w:rPr>
          <w:rFonts w:ascii="Arial" w:hAnsi="Arial" w:cs="Arial"/>
        </w:rPr>
        <w:t xml:space="preserve"> in the atmosphere.</w:t>
      </w:r>
    </w:p>
  </w:footnote>
  <w:footnote w:id="2">
    <w:p w14:paraId="371D3765" w14:textId="2909547E" w:rsidR="00107CBF" w:rsidRPr="00F16F84" w:rsidRDefault="00107CBF">
      <w:pPr>
        <w:pStyle w:val="FootnoteText"/>
        <w:rPr>
          <w:rFonts w:ascii="Arial" w:hAnsi="Arial" w:cs="Arial"/>
        </w:rPr>
      </w:pPr>
      <w:r>
        <w:rPr>
          <w:rStyle w:val="FootnoteReference"/>
        </w:rPr>
        <w:footnoteRef/>
      </w:r>
      <w:r>
        <w:t xml:space="preserve"> </w:t>
      </w:r>
      <w:r>
        <w:rPr>
          <w:rFonts w:ascii="Arial" w:hAnsi="Arial" w:cs="Arial"/>
        </w:rPr>
        <w:t xml:space="preserve">These are metric tons.  A metric ton is 1000 kg or </w:t>
      </w:r>
      <w:r w:rsidR="00831906">
        <w:rPr>
          <w:rFonts w:ascii="Arial" w:hAnsi="Arial" w:cs="Arial"/>
        </w:rPr>
        <w:t>2205 lb.</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54F683" w14:textId="77777777" w:rsidR="007526C4" w:rsidRDefault="007526C4">
    <w:pPr>
      <w:pStyle w:val="Header"/>
    </w:pPr>
    <w:r w:rsidRPr="00123C3D">
      <w:rPr>
        <w:rFonts w:cs="Arial"/>
        <w:sz w:val="22"/>
        <w:szCs w:val="22"/>
      </w:rPr>
      <w:t>Name _______________________________ Teacher _________________ Date 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15:restartNumberingAfterBreak="0">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80A523C"/>
    <w:multiLevelType w:val="hybridMultilevel"/>
    <w:tmpl w:val="39D4F01E"/>
    <w:lvl w:ilvl="0" w:tplc="6B74DF8A">
      <w:start w:val="1"/>
      <w:numFmt w:val="decimal"/>
      <w:lvlText w:val="%1."/>
      <w:lvlJc w:val="left"/>
      <w:pPr>
        <w:tabs>
          <w:tab w:val="num" w:pos="720"/>
        </w:tabs>
        <w:ind w:left="720" w:hanging="360"/>
      </w:pPr>
    </w:lvl>
    <w:lvl w:ilvl="1" w:tplc="3E800664" w:tentative="1">
      <w:start w:val="1"/>
      <w:numFmt w:val="decimal"/>
      <w:lvlText w:val="%2."/>
      <w:lvlJc w:val="left"/>
      <w:pPr>
        <w:tabs>
          <w:tab w:val="num" w:pos="1440"/>
        </w:tabs>
        <w:ind w:left="1440" w:hanging="360"/>
      </w:pPr>
    </w:lvl>
    <w:lvl w:ilvl="2" w:tplc="ACC213A0" w:tentative="1">
      <w:start w:val="1"/>
      <w:numFmt w:val="decimal"/>
      <w:lvlText w:val="%3."/>
      <w:lvlJc w:val="left"/>
      <w:pPr>
        <w:tabs>
          <w:tab w:val="num" w:pos="2160"/>
        </w:tabs>
        <w:ind w:left="2160" w:hanging="360"/>
      </w:pPr>
    </w:lvl>
    <w:lvl w:ilvl="3" w:tplc="62D278D6" w:tentative="1">
      <w:start w:val="1"/>
      <w:numFmt w:val="decimal"/>
      <w:lvlText w:val="%4."/>
      <w:lvlJc w:val="left"/>
      <w:pPr>
        <w:tabs>
          <w:tab w:val="num" w:pos="2880"/>
        </w:tabs>
        <w:ind w:left="2880" w:hanging="360"/>
      </w:pPr>
    </w:lvl>
    <w:lvl w:ilvl="4" w:tplc="42FC227E" w:tentative="1">
      <w:start w:val="1"/>
      <w:numFmt w:val="decimal"/>
      <w:lvlText w:val="%5."/>
      <w:lvlJc w:val="left"/>
      <w:pPr>
        <w:tabs>
          <w:tab w:val="num" w:pos="3600"/>
        </w:tabs>
        <w:ind w:left="3600" w:hanging="360"/>
      </w:pPr>
    </w:lvl>
    <w:lvl w:ilvl="5" w:tplc="B91A8F44" w:tentative="1">
      <w:start w:val="1"/>
      <w:numFmt w:val="decimal"/>
      <w:lvlText w:val="%6."/>
      <w:lvlJc w:val="left"/>
      <w:pPr>
        <w:tabs>
          <w:tab w:val="num" w:pos="4320"/>
        </w:tabs>
        <w:ind w:left="4320" w:hanging="360"/>
      </w:pPr>
    </w:lvl>
    <w:lvl w:ilvl="6" w:tplc="BDBA410E" w:tentative="1">
      <w:start w:val="1"/>
      <w:numFmt w:val="decimal"/>
      <w:lvlText w:val="%7."/>
      <w:lvlJc w:val="left"/>
      <w:pPr>
        <w:tabs>
          <w:tab w:val="num" w:pos="5040"/>
        </w:tabs>
        <w:ind w:left="5040" w:hanging="360"/>
      </w:pPr>
    </w:lvl>
    <w:lvl w:ilvl="7" w:tplc="350C53CC" w:tentative="1">
      <w:start w:val="1"/>
      <w:numFmt w:val="decimal"/>
      <w:lvlText w:val="%8."/>
      <w:lvlJc w:val="left"/>
      <w:pPr>
        <w:tabs>
          <w:tab w:val="num" w:pos="5760"/>
        </w:tabs>
        <w:ind w:left="5760" w:hanging="360"/>
      </w:pPr>
    </w:lvl>
    <w:lvl w:ilvl="8" w:tplc="4498EBB0" w:tentative="1">
      <w:start w:val="1"/>
      <w:numFmt w:val="decimal"/>
      <w:lvlText w:val="%9."/>
      <w:lvlJc w:val="left"/>
      <w:pPr>
        <w:tabs>
          <w:tab w:val="num" w:pos="6480"/>
        </w:tabs>
        <w:ind w:left="6480" w:hanging="360"/>
      </w:pPr>
    </w:lvl>
  </w:abstractNum>
  <w:abstractNum w:abstractNumId="6" w15:restartNumberingAfterBreak="0">
    <w:nsid w:val="28207EC0"/>
    <w:multiLevelType w:val="hybridMultilevel"/>
    <w:tmpl w:val="BA0007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2D1702DD"/>
    <w:multiLevelType w:val="hybridMultilevel"/>
    <w:tmpl w:val="03483B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795AD3"/>
    <w:multiLevelType w:val="hybridMultilevel"/>
    <w:tmpl w:val="3A8C8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 w15:restartNumberingAfterBreak="0">
    <w:nsid w:val="3F5033B2"/>
    <w:multiLevelType w:val="hybridMultilevel"/>
    <w:tmpl w:val="83BC2B60"/>
    <w:lvl w:ilvl="0" w:tplc="2FB24AC2">
      <w:start w:val="1"/>
      <w:numFmt w:val="bullet"/>
      <w:lvlText w:val=""/>
      <w:lvlJc w:val="left"/>
      <w:pPr>
        <w:ind w:left="1080" w:hanging="360"/>
      </w:pPr>
      <w:rPr>
        <w:rFonts w:ascii="Symbol" w:hAnsi="Symbol" w:hint="default"/>
        <w:color w:val="FF0000"/>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42784601"/>
    <w:multiLevelType w:val="hybridMultilevel"/>
    <w:tmpl w:val="D716F79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F8C73BD"/>
    <w:multiLevelType w:val="hybridMultilevel"/>
    <w:tmpl w:val="4F48F0C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54F052A2"/>
    <w:multiLevelType w:val="hybridMultilevel"/>
    <w:tmpl w:val="215E5406"/>
    <w:lvl w:ilvl="0" w:tplc="5B4A95B0">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5B3C47D0"/>
    <w:multiLevelType w:val="multilevel"/>
    <w:tmpl w:val="03483B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5DC9256C"/>
    <w:multiLevelType w:val="hybridMultilevel"/>
    <w:tmpl w:val="99AE5092"/>
    <w:lvl w:ilvl="0" w:tplc="04090001">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6" w15:restartNumberingAfterBreak="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7" w15:restartNumberingAfterBreak="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2865A37"/>
    <w:multiLevelType w:val="hybridMultilevel"/>
    <w:tmpl w:val="5BE60E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7D33567"/>
    <w:multiLevelType w:val="multilevel"/>
    <w:tmpl w:val="03483B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4"/>
  </w:num>
  <w:num w:numId="2">
    <w:abstractNumId w:val="27"/>
  </w:num>
  <w:num w:numId="3">
    <w:abstractNumId w:val="0"/>
  </w:num>
  <w:num w:numId="4">
    <w:abstractNumId w:val="4"/>
  </w:num>
  <w:num w:numId="5">
    <w:abstractNumId w:val="16"/>
  </w:num>
  <w:num w:numId="6">
    <w:abstractNumId w:val="24"/>
  </w:num>
  <w:num w:numId="7">
    <w:abstractNumId w:val="32"/>
  </w:num>
  <w:num w:numId="8">
    <w:abstractNumId w:val="28"/>
  </w:num>
  <w:num w:numId="9">
    <w:abstractNumId w:val="2"/>
  </w:num>
  <w:num w:numId="10">
    <w:abstractNumId w:val="9"/>
  </w:num>
  <w:num w:numId="11">
    <w:abstractNumId w:val="23"/>
  </w:num>
  <w:num w:numId="12">
    <w:abstractNumId w:val="15"/>
  </w:num>
  <w:num w:numId="13">
    <w:abstractNumId w:val="1"/>
  </w:num>
  <w:num w:numId="14">
    <w:abstractNumId w:val="21"/>
  </w:num>
  <w:num w:numId="15">
    <w:abstractNumId w:val="33"/>
  </w:num>
  <w:num w:numId="16">
    <w:abstractNumId w:val="22"/>
  </w:num>
  <w:num w:numId="17">
    <w:abstractNumId w:val="3"/>
  </w:num>
  <w:num w:numId="18">
    <w:abstractNumId w:val="11"/>
  </w:num>
  <w:num w:numId="19">
    <w:abstractNumId w:val="25"/>
  </w:num>
  <w:num w:numId="20">
    <w:abstractNumId w:val="26"/>
  </w:num>
  <w:num w:numId="21">
    <w:abstractNumId w:val="10"/>
  </w:num>
  <w:num w:numId="22">
    <w:abstractNumId w:val="30"/>
  </w:num>
  <w:num w:numId="23">
    <w:abstractNumId w:val="30"/>
  </w:num>
  <w:num w:numId="24">
    <w:abstractNumId w:val="20"/>
  </w:num>
  <w:num w:numId="25">
    <w:abstractNumId w:val="13"/>
  </w:num>
  <w:num w:numId="26">
    <w:abstractNumId w:val="12"/>
  </w:num>
  <w:num w:numId="27">
    <w:abstractNumId w:val="18"/>
  </w:num>
  <w:num w:numId="28">
    <w:abstractNumId w:val="17"/>
  </w:num>
  <w:num w:numId="29">
    <w:abstractNumId w:val="6"/>
  </w:num>
  <w:num w:numId="30">
    <w:abstractNumId w:val="7"/>
  </w:num>
  <w:num w:numId="31">
    <w:abstractNumId w:val="31"/>
  </w:num>
  <w:num w:numId="32">
    <w:abstractNumId w:val="19"/>
  </w:num>
  <w:num w:numId="33">
    <w:abstractNumId w:val="8"/>
  </w:num>
  <w:num w:numId="34">
    <w:abstractNumId w:val="29"/>
  </w:num>
  <w:num w:numId="3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proofState w:spelling="clean" w:grammar="clean"/>
  <w:attachedTemplate r:id="rId1"/>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9510E"/>
    <w:rsid w:val="00013C02"/>
    <w:rsid w:val="0002453A"/>
    <w:rsid w:val="00035530"/>
    <w:rsid w:val="000370F2"/>
    <w:rsid w:val="0005015B"/>
    <w:rsid w:val="00064F8F"/>
    <w:rsid w:val="00071A1A"/>
    <w:rsid w:val="0007326B"/>
    <w:rsid w:val="00073EC4"/>
    <w:rsid w:val="00075A4B"/>
    <w:rsid w:val="00080F0A"/>
    <w:rsid w:val="00095999"/>
    <w:rsid w:val="000A0BDA"/>
    <w:rsid w:val="000A7AF3"/>
    <w:rsid w:val="000B42C4"/>
    <w:rsid w:val="000B4A03"/>
    <w:rsid w:val="000C42BE"/>
    <w:rsid w:val="000D1AAD"/>
    <w:rsid w:val="000D56EF"/>
    <w:rsid w:val="000E360D"/>
    <w:rsid w:val="000E6CC1"/>
    <w:rsid w:val="001011BB"/>
    <w:rsid w:val="00101A68"/>
    <w:rsid w:val="00107CBF"/>
    <w:rsid w:val="001133AF"/>
    <w:rsid w:val="00114A75"/>
    <w:rsid w:val="001227DB"/>
    <w:rsid w:val="0012429C"/>
    <w:rsid w:val="00125B20"/>
    <w:rsid w:val="00135C69"/>
    <w:rsid w:val="001401F3"/>
    <w:rsid w:val="00152A33"/>
    <w:rsid w:val="00157519"/>
    <w:rsid w:val="0016032A"/>
    <w:rsid w:val="00170382"/>
    <w:rsid w:val="00171416"/>
    <w:rsid w:val="00184C6A"/>
    <w:rsid w:val="00185A33"/>
    <w:rsid w:val="001A107A"/>
    <w:rsid w:val="001A1125"/>
    <w:rsid w:val="001B6802"/>
    <w:rsid w:val="001D4633"/>
    <w:rsid w:val="001D66CB"/>
    <w:rsid w:val="001E27B8"/>
    <w:rsid w:val="001E7DB8"/>
    <w:rsid w:val="00206DEE"/>
    <w:rsid w:val="00210E68"/>
    <w:rsid w:val="00211FC8"/>
    <w:rsid w:val="0021377D"/>
    <w:rsid w:val="002216B1"/>
    <w:rsid w:val="00221BB9"/>
    <w:rsid w:val="002225AC"/>
    <w:rsid w:val="0023266B"/>
    <w:rsid w:val="00242481"/>
    <w:rsid w:val="00244DAB"/>
    <w:rsid w:val="00246954"/>
    <w:rsid w:val="00260FE8"/>
    <w:rsid w:val="00261AB8"/>
    <w:rsid w:val="00275AF0"/>
    <w:rsid w:val="00282E8B"/>
    <w:rsid w:val="00293739"/>
    <w:rsid w:val="002A1845"/>
    <w:rsid w:val="002A1AC3"/>
    <w:rsid w:val="002A389A"/>
    <w:rsid w:val="002A5C2F"/>
    <w:rsid w:val="002B223C"/>
    <w:rsid w:val="002C0765"/>
    <w:rsid w:val="002C08E9"/>
    <w:rsid w:val="002C6C7E"/>
    <w:rsid w:val="002E40EE"/>
    <w:rsid w:val="002E68DC"/>
    <w:rsid w:val="002F1FFF"/>
    <w:rsid w:val="00307FA5"/>
    <w:rsid w:val="0031490A"/>
    <w:rsid w:val="00321254"/>
    <w:rsid w:val="003219EB"/>
    <w:rsid w:val="003323A3"/>
    <w:rsid w:val="0033448B"/>
    <w:rsid w:val="003410F5"/>
    <w:rsid w:val="00343039"/>
    <w:rsid w:val="00350EF0"/>
    <w:rsid w:val="0035560C"/>
    <w:rsid w:val="0036794F"/>
    <w:rsid w:val="00370EE6"/>
    <w:rsid w:val="00371E47"/>
    <w:rsid w:val="003A098C"/>
    <w:rsid w:val="003A2652"/>
    <w:rsid w:val="003A66B3"/>
    <w:rsid w:val="003A723E"/>
    <w:rsid w:val="003B450E"/>
    <w:rsid w:val="003B50F8"/>
    <w:rsid w:val="003C00AD"/>
    <w:rsid w:val="003C1F5D"/>
    <w:rsid w:val="003C3C0B"/>
    <w:rsid w:val="003D3A64"/>
    <w:rsid w:val="003E2307"/>
    <w:rsid w:val="003E353B"/>
    <w:rsid w:val="003E574D"/>
    <w:rsid w:val="003E6241"/>
    <w:rsid w:val="00422CFB"/>
    <w:rsid w:val="00422EBE"/>
    <w:rsid w:val="004463D8"/>
    <w:rsid w:val="00463C62"/>
    <w:rsid w:val="00491B18"/>
    <w:rsid w:val="0049224C"/>
    <w:rsid w:val="004A40BD"/>
    <w:rsid w:val="004B0679"/>
    <w:rsid w:val="004B179B"/>
    <w:rsid w:val="004C1075"/>
    <w:rsid w:val="004C2D88"/>
    <w:rsid w:val="004C3D1F"/>
    <w:rsid w:val="004C7DE2"/>
    <w:rsid w:val="004E247F"/>
    <w:rsid w:val="004E2E70"/>
    <w:rsid w:val="004E7CC3"/>
    <w:rsid w:val="004F5752"/>
    <w:rsid w:val="004F74C9"/>
    <w:rsid w:val="00504813"/>
    <w:rsid w:val="005136CC"/>
    <w:rsid w:val="005141C2"/>
    <w:rsid w:val="00534422"/>
    <w:rsid w:val="005348F6"/>
    <w:rsid w:val="005420A2"/>
    <w:rsid w:val="0054526B"/>
    <w:rsid w:val="00545934"/>
    <w:rsid w:val="00545BAE"/>
    <w:rsid w:val="00545D34"/>
    <w:rsid w:val="0055055A"/>
    <w:rsid w:val="00552253"/>
    <w:rsid w:val="00561F28"/>
    <w:rsid w:val="00570964"/>
    <w:rsid w:val="00573102"/>
    <w:rsid w:val="00595E94"/>
    <w:rsid w:val="00596266"/>
    <w:rsid w:val="005967B1"/>
    <w:rsid w:val="005B2B27"/>
    <w:rsid w:val="005C34DC"/>
    <w:rsid w:val="005D1E74"/>
    <w:rsid w:val="005D5835"/>
    <w:rsid w:val="005E052D"/>
    <w:rsid w:val="005F3F10"/>
    <w:rsid w:val="00600874"/>
    <w:rsid w:val="00613252"/>
    <w:rsid w:val="00644D63"/>
    <w:rsid w:val="00651A3C"/>
    <w:rsid w:val="0066320F"/>
    <w:rsid w:val="00685B1E"/>
    <w:rsid w:val="00690EAB"/>
    <w:rsid w:val="00693CF8"/>
    <w:rsid w:val="006959D7"/>
    <w:rsid w:val="006A51DC"/>
    <w:rsid w:val="006A785D"/>
    <w:rsid w:val="006B644D"/>
    <w:rsid w:val="006C305A"/>
    <w:rsid w:val="006E12E2"/>
    <w:rsid w:val="006F0DAE"/>
    <w:rsid w:val="006F2D8C"/>
    <w:rsid w:val="006F3591"/>
    <w:rsid w:val="006F375F"/>
    <w:rsid w:val="00724BFE"/>
    <w:rsid w:val="0073326D"/>
    <w:rsid w:val="00740008"/>
    <w:rsid w:val="007422D2"/>
    <w:rsid w:val="007526C4"/>
    <w:rsid w:val="00753132"/>
    <w:rsid w:val="00756C7E"/>
    <w:rsid w:val="00772C4E"/>
    <w:rsid w:val="00781A47"/>
    <w:rsid w:val="00790720"/>
    <w:rsid w:val="0079510E"/>
    <w:rsid w:val="0079682D"/>
    <w:rsid w:val="007A61AF"/>
    <w:rsid w:val="007A65A8"/>
    <w:rsid w:val="007B56AC"/>
    <w:rsid w:val="007B688B"/>
    <w:rsid w:val="007C4920"/>
    <w:rsid w:val="007D057E"/>
    <w:rsid w:val="007D7A4C"/>
    <w:rsid w:val="007E06F1"/>
    <w:rsid w:val="007E55A8"/>
    <w:rsid w:val="007E684C"/>
    <w:rsid w:val="007E7BAE"/>
    <w:rsid w:val="007F03A1"/>
    <w:rsid w:val="007F4969"/>
    <w:rsid w:val="007F65AC"/>
    <w:rsid w:val="007F6834"/>
    <w:rsid w:val="007F774F"/>
    <w:rsid w:val="00802896"/>
    <w:rsid w:val="00803CE0"/>
    <w:rsid w:val="00816125"/>
    <w:rsid w:val="00822601"/>
    <w:rsid w:val="00831906"/>
    <w:rsid w:val="00840E7F"/>
    <w:rsid w:val="0084237D"/>
    <w:rsid w:val="008423F7"/>
    <w:rsid w:val="008528E5"/>
    <w:rsid w:val="0086009D"/>
    <w:rsid w:val="00860F95"/>
    <w:rsid w:val="00861A04"/>
    <w:rsid w:val="0086409B"/>
    <w:rsid w:val="00877E1C"/>
    <w:rsid w:val="00893729"/>
    <w:rsid w:val="008B69EC"/>
    <w:rsid w:val="008B789E"/>
    <w:rsid w:val="008C1964"/>
    <w:rsid w:val="008C1C0E"/>
    <w:rsid w:val="008C37FE"/>
    <w:rsid w:val="008C494F"/>
    <w:rsid w:val="008C50CD"/>
    <w:rsid w:val="008D1ED1"/>
    <w:rsid w:val="008D4A43"/>
    <w:rsid w:val="008D59AE"/>
    <w:rsid w:val="008D5B80"/>
    <w:rsid w:val="008D71C8"/>
    <w:rsid w:val="008E016E"/>
    <w:rsid w:val="008F1581"/>
    <w:rsid w:val="008F60B3"/>
    <w:rsid w:val="008F7596"/>
    <w:rsid w:val="00940801"/>
    <w:rsid w:val="00971BD9"/>
    <w:rsid w:val="00973F50"/>
    <w:rsid w:val="00977F46"/>
    <w:rsid w:val="00983032"/>
    <w:rsid w:val="00987851"/>
    <w:rsid w:val="00995F0B"/>
    <w:rsid w:val="009A709F"/>
    <w:rsid w:val="009B424F"/>
    <w:rsid w:val="009C00B7"/>
    <w:rsid w:val="009C0BDB"/>
    <w:rsid w:val="009C7CE7"/>
    <w:rsid w:val="009D6F32"/>
    <w:rsid w:val="009E7BA6"/>
    <w:rsid w:val="009F27D6"/>
    <w:rsid w:val="00A1043B"/>
    <w:rsid w:val="00A16048"/>
    <w:rsid w:val="00A253A5"/>
    <w:rsid w:val="00A265E6"/>
    <w:rsid w:val="00A268A4"/>
    <w:rsid w:val="00A40110"/>
    <w:rsid w:val="00A404CE"/>
    <w:rsid w:val="00A54D88"/>
    <w:rsid w:val="00A55351"/>
    <w:rsid w:val="00A60B91"/>
    <w:rsid w:val="00A65CBE"/>
    <w:rsid w:val="00A878A6"/>
    <w:rsid w:val="00AC1A1A"/>
    <w:rsid w:val="00AC23E7"/>
    <w:rsid w:val="00AE031F"/>
    <w:rsid w:val="00AE25CB"/>
    <w:rsid w:val="00AE404C"/>
    <w:rsid w:val="00AE48E2"/>
    <w:rsid w:val="00AE6A19"/>
    <w:rsid w:val="00AF66EC"/>
    <w:rsid w:val="00B033A4"/>
    <w:rsid w:val="00B13D73"/>
    <w:rsid w:val="00B260ED"/>
    <w:rsid w:val="00B37920"/>
    <w:rsid w:val="00B41EBC"/>
    <w:rsid w:val="00B461A6"/>
    <w:rsid w:val="00B56E42"/>
    <w:rsid w:val="00B6086E"/>
    <w:rsid w:val="00B61A60"/>
    <w:rsid w:val="00B674B9"/>
    <w:rsid w:val="00B67548"/>
    <w:rsid w:val="00B73BAC"/>
    <w:rsid w:val="00B75AD1"/>
    <w:rsid w:val="00B82234"/>
    <w:rsid w:val="00B87180"/>
    <w:rsid w:val="00BB67BB"/>
    <w:rsid w:val="00BB695C"/>
    <w:rsid w:val="00BD05E9"/>
    <w:rsid w:val="00BD76B9"/>
    <w:rsid w:val="00BE29F6"/>
    <w:rsid w:val="00BF001C"/>
    <w:rsid w:val="00BF1D22"/>
    <w:rsid w:val="00C05CF9"/>
    <w:rsid w:val="00C14C6F"/>
    <w:rsid w:val="00C23554"/>
    <w:rsid w:val="00C364EA"/>
    <w:rsid w:val="00C415EA"/>
    <w:rsid w:val="00C451A7"/>
    <w:rsid w:val="00C54391"/>
    <w:rsid w:val="00C56AF2"/>
    <w:rsid w:val="00C56BC7"/>
    <w:rsid w:val="00C6085A"/>
    <w:rsid w:val="00C672EC"/>
    <w:rsid w:val="00C701EA"/>
    <w:rsid w:val="00C71817"/>
    <w:rsid w:val="00C736EB"/>
    <w:rsid w:val="00C90F46"/>
    <w:rsid w:val="00C925D9"/>
    <w:rsid w:val="00C95A22"/>
    <w:rsid w:val="00C976A5"/>
    <w:rsid w:val="00CA3BD6"/>
    <w:rsid w:val="00CA44D7"/>
    <w:rsid w:val="00CA47D3"/>
    <w:rsid w:val="00CA6F59"/>
    <w:rsid w:val="00CB036B"/>
    <w:rsid w:val="00CB2F35"/>
    <w:rsid w:val="00CB429C"/>
    <w:rsid w:val="00CB6F51"/>
    <w:rsid w:val="00CC0CE7"/>
    <w:rsid w:val="00CC4752"/>
    <w:rsid w:val="00CE323C"/>
    <w:rsid w:val="00CE4B7B"/>
    <w:rsid w:val="00CE6617"/>
    <w:rsid w:val="00D0200C"/>
    <w:rsid w:val="00D16DB2"/>
    <w:rsid w:val="00D30B2E"/>
    <w:rsid w:val="00D67F65"/>
    <w:rsid w:val="00D770DE"/>
    <w:rsid w:val="00D84D17"/>
    <w:rsid w:val="00D871DA"/>
    <w:rsid w:val="00D90C0D"/>
    <w:rsid w:val="00D95578"/>
    <w:rsid w:val="00D95604"/>
    <w:rsid w:val="00D976AF"/>
    <w:rsid w:val="00DA611C"/>
    <w:rsid w:val="00DB00DC"/>
    <w:rsid w:val="00DD04A3"/>
    <w:rsid w:val="00DD3751"/>
    <w:rsid w:val="00DD6E30"/>
    <w:rsid w:val="00DE3BE2"/>
    <w:rsid w:val="00DF1CD9"/>
    <w:rsid w:val="00E040C0"/>
    <w:rsid w:val="00E07250"/>
    <w:rsid w:val="00E1047D"/>
    <w:rsid w:val="00E14321"/>
    <w:rsid w:val="00E155D2"/>
    <w:rsid w:val="00E30B7E"/>
    <w:rsid w:val="00E376F8"/>
    <w:rsid w:val="00E46DC7"/>
    <w:rsid w:val="00E51536"/>
    <w:rsid w:val="00E54375"/>
    <w:rsid w:val="00E55861"/>
    <w:rsid w:val="00E61F11"/>
    <w:rsid w:val="00E65944"/>
    <w:rsid w:val="00E824B8"/>
    <w:rsid w:val="00E84D2D"/>
    <w:rsid w:val="00EA1B17"/>
    <w:rsid w:val="00EA2354"/>
    <w:rsid w:val="00EA5C3C"/>
    <w:rsid w:val="00EC1BD2"/>
    <w:rsid w:val="00EC4989"/>
    <w:rsid w:val="00EF0FB9"/>
    <w:rsid w:val="00EF5CB8"/>
    <w:rsid w:val="00EF779C"/>
    <w:rsid w:val="00F00E1E"/>
    <w:rsid w:val="00F13ECF"/>
    <w:rsid w:val="00F15A98"/>
    <w:rsid w:val="00F16F84"/>
    <w:rsid w:val="00F17224"/>
    <w:rsid w:val="00F251AC"/>
    <w:rsid w:val="00F45AE3"/>
    <w:rsid w:val="00F47583"/>
    <w:rsid w:val="00F538F4"/>
    <w:rsid w:val="00F60A39"/>
    <w:rsid w:val="00F861AB"/>
    <w:rsid w:val="00FA7540"/>
    <w:rsid w:val="00FA759E"/>
    <w:rsid w:val="00FC61A8"/>
    <w:rsid w:val="00FD1905"/>
    <w:rsid w:val="00FD4939"/>
    <w:rsid w:val="00FD6627"/>
    <w:rsid w:val="00FD7F5F"/>
    <w:rsid w:val="00FE3320"/>
    <w:rsid w:val="00FE630C"/>
    <w:rsid w:val="00FF1323"/>
    <w:rsid w:val="00FF3CB1"/>
    <w:rsid w:val="00FF5F3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0A48322"/>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rsid w:val="001227DB"/>
    <w:pPr>
      <w:keepNext/>
      <w:spacing w:before="120"/>
      <w:outlineLvl w:val="1"/>
    </w:pPr>
    <w:rPr>
      <w:b/>
      <w:sz w:val="24"/>
      <w:szCs w:val="24"/>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34"/>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character" w:styleId="CommentReference">
    <w:name w:val="annotation reference"/>
    <w:basedOn w:val="DefaultParagraphFont"/>
    <w:uiPriority w:val="99"/>
    <w:semiHidden/>
    <w:unhideWhenUsed/>
    <w:rsid w:val="00B41EBC"/>
    <w:rPr>
      <w:sz w:val="18"/>
      <w:szCs w:val="18"/>
    </w:rPr>
  </w:style>
  <w:style w:type="paragraph" w:styleId="CommentText">
    <w:name w:val="annotation text"/>
    <w:basedOn w:val="Normal"/>
    <w:link w:val="CommentTextChar"/>
    <w:uiPriority w:val="99"/>
    <w:semiHidden/>
    <w:unhideWhenUsed/>
    <w:rsid w:val="00B41EBC"/>
    <w:rPr>
      <w:sz w:val="24"/>
      <w:szCs w:val="24"/>
    </w:rPr>
  </w:style>
  <w:style w:type="character" w:customStyle="1" w:styleId="CommentTextChar">
    <w:name w:val="Comment Text Char"/>
    <w:basedOn w:val="DefaultParagraphFont"/>
    <w:link w:val="CommentText"/>
    <w:uiPriority w:val="99"/>
    <w:semiHidden/>
    <w:rsid w:val="00B41EBC"/>
    <w:rPr>
      <w:rFonts w:ascii="Arial" w:hAnsi="Arial"/>
      <w:sz w:val="24"/>
      <w:szCs w:val="24"/>
    </w:rPr>
  </w:style>
  <w:style w:type="paragraph" w:styleId="BalloonText">
    <w:name w:val="Balloon Text"/>
    <w:basedOn w:val="Normal"/>
    <w:link w:val="BalloonTextChar"/>
    <w:uiPriority w:val="99"/>
    <w:semiHidden/>
    <w:unhideWhenUsed/>
    <w:rsid w:val="00B41EBC"/>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B41EBC"/>
    <w:rPr>
      <w:rFonts w:ascii="Times New Roman" w:hAnsi="Times New Roman"/>
      <w:sz w:val="18"/>
      <w:szCs w:val="18"/>
    </w:rPr>
  </w:style>
  <w:style w:type="character" w:styleId="FollowedHyperlink">
    <w:name w:val="FollowedHyperlink"/>
    <w:basedOn w:val="DefaultParagraphFont"/>
    <w:uiPriority w:val="99"/>
    <w:semiHidden/>
    <w:unhideWhenUsed/>
    <w:rsid w:val="000A0BDA"/>
    <w:rPr>
      <w:color w:val="800080" w:themeColor="followedHyperlink"/>
      <w:u w:val="single"/>
    </w:rPr>
  </w:style>
  <w:style w:type="character" w:customStyle="1" w:styleId="apple-converted-space">
    <w:name w:val="apple-converted-space"/>
    <w:basedOn w:val="DefaultParagraphFont"/>
    <w:rsid w:val="00822601"/>
  </w:style>
  <w:style w:type="character" w:styleId="UnresolvedMention">
    <w:name w:val="Unresolved Mention"/>
    <w:basedOn w:val="DefaultParagraphFont"/>
    <w:uiPriority w:val="99"/>
    <w:rsid w:val="0017038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5573592">
      <w:bodyDiv w:val="1"/>
      <w:marLeft w:val="0"/>
      <w:marRight w:val="0"/>
      <w:marTop w:val="0"/>
      <w:marBottom w:val="0"/>
      <w:divBdr>
        <w:top w:val="none" w:sz="0" w:space="0" w:color="auto"/>
        <w:left w:val="none" w:sz="0" w:space="0" w:color="auto"/>
        <w:bottom w:val="none" w:sz="0" w:space="0" w:color="auto"/>
        <w:right w:val="none" w:sz="0" w:space="0" w:color="auto"/>
      </w:divBdr>
    </w:div>
    <w:div w:id="993604573">
      <w:bodyDiv w:val="1"/>
      <w:marLeft w:val="0"/>
      <w:marRight w:val="0"/>
      <w:marTop w:val="0"/>
      <w:marBottom w:val="0"/>
      <w:divBdr>
        <w:top w:val="none" w:sz="0" w:space="0" w:color="auto"/>
        <w:left w:val="none" w:sz="0" w:space="0" w:color="auto"/>
        <w:bottom w:val="none" w:sz="0" w:space="0" w:color="auto"/>
        <w:right w:val="none" w:sz="0" w:space="0" w:color="auto"/>
      </w:divBdr>
    </w:div>
    <w:div w:id="1200312652">
      <w:bodyDiv w:val="1"/>
      <w:marLeft w:val="0"/>
      <w:marRight w:val="0"/>
      <w:marTop w:val="0"/>
      <w:marBottom w:val="0"/>
      <w:divBdr>
        <w:top w:val="none" w:sz="0" w:space="0" w:color="auto"/>
        <w:left w:val="none" w:sz="0" w:space="0" w:color="auto"/>
        <w:bottom w:val="none" w:sz="0" w:space="0" w:color="auto"/>
        <w:right w:val="none" w:sz="0" w:space="0" w:color="auto"/>
      </w:divBdr>
      <w:divsChild>
        <w:div w:id="2048066818">
          <w:marLeft w:val="806"/>
          <w:marRight w:val="0"/>
          <w:marTop w:val="173"/>
          <w:marBottom w:val="0"/>
          <w:divBdr>
            <w:top w:val="none" w:sz="0" w:space="0" w:color="auto"/>
            <w:left w:val="none" w:sz="0" w:space="0" w:color="auto"/>
            <w:bottom w:val="none" w:sz="0" w:space="0" w:color="auto"/>
            <w:right w:val="none" w:sz="0" w:space="0" w:color="auto"/>
          </w:divBdr>
        </w:div>
        <w:div w:id="1187793420">
          <w:marLeft w:val="806"/>
          <w:marRight w:val="0"/>
          <w:marTop w:val="173"/>
          <w:marBottom w:val="0"/>
          <w:divBdr>
            <w:top w:val="none" w:sz="0" w:space="0" w:color="auto"/>
            <w:left w:val="none" w:sz="0" w:space="0" w:color="auto"/>
            <w:bottom w:val="none" w:sz="0" w:space="0" w:color="auto"/>
            <w:right w:val="none" w:sz="0" w:space="0" w:color="auto"/>
          </w:divBdr>
        </w:div>
        <w:div w:id="1263490499">
          <w:marLeft w:val="806"/>
          <w:marRight w:val="0"/>
          <w:marTop w:val="173"/>
          <w:marBottom w:val="0"/>
          <w:divBdr>
            <w:top w:val="none" w:sz="0" w:space="0" w:color="auto"/>
            <w:left w:val="none" w:sz="0" w:space="0" w:color="auto"/>
            <w:bottom w:val="none" w:sz="0" w:space="0" w:color="auto"/>
            <w:right w:val="none" w:sz="0" w:space="0" w:color="auto"/>
          </w:divBdr>
        </w:div>
      </w:divsChild>
    </w:div>
    <w:div w:id="1366907482">
      <w:bodyDiv w:val="1"/>
      <w:marLeft w:val="0"/>
      <w:marRight w:val="0"/>
      <w:marTop w:val="0"/>
      <w:marBottom w:val="0"/>
      <w:divBdr>
        <w:top w:val="none" w:sz="0" w:space="0" w:color="auto"/>
        <w:left w:val="none" w:sz="0" w:space="0" w:color="auto"/>
        <w:bottom w:val="none" w:sz="0" w:space="0" w:color="auto"/>
        <w:right w:val="none" w:sz="0" w:space="0" w:color="auto"/>
      </w:divBdr>
    </w:div>
    <w:div w:id="1377965740">
      <w:bodyDiv w:val="1"/>
      <w:marLeft w:val="0"/>
      <w:marRight w:val="0"/>
      <w:marTop w:val="0"/>
      <w:marBottom w:val="0"/>
      <w:divBdr>
        <w:top w:val="none" w:sz="0" w:space="0" w:color="auto"/>
        <w:left w:val="none" w:sz="0" w:space="0" w:color="auto"/>
        <w:bottom w:val="none" w:sz="0" w:space="0" w:color="auto"/>
        <w:right w:val="none" w:sz="0" w:space="0" w:color="auto"/>
      </w:divBdr>
    </w:div>
    <w:div w:id="203576224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carbontime.bscs.org/sites/default/files/simulations/HES_Simulation/index.html" TargetMode="External"/><Relationship Id="rId13" Type="http://schemas.openxmlformats.org/officeDocument/2006/relationships/image" Target="media/image6.png"/><Relationship Id="rId18" Type="http://schemas.openxmlformats.org/officeDocument/2006/relationships/hyperlink" Target="http://exponentialroadmap.futureearth.org/" TargetMode="Externa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emf"/><Relationship Id="rId12" Type="http://schemas.openxmlformats.org/officeDocument/2006/relationships/image" Target="media/image5.png"/><Relationship Id="rId17" Type="http://schemas.openxmlformats.org/officeDocument/2006/relationships/hyperlink" Target="https://www.youtube.com/watch?v=ylkdUuNOJzw"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www.cbc.ca/news2/interactives/2degrees/?utm_source=hootsuite" TargetMode="External"/><Relationship Id="rId20" Type="http://schemas.openxmlformats.org/officeDocument/2006/relationships/hyperlink" Target="https://www.washingtonpost.com/energy-environment/2018/10/03/climate-scientists-are-struggling-find-right-words-very-bad-news/?noredirect=on&amp;utm_term=.2ae899713e30"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nyti.ms/2IHTSIO" TargetMode="External"/><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hyperlink" Target="https://nyti.ms/2D5qo8u"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ndya/Dropbox%20(CarbonTIME)/1%20CTIME2%20Network%20Leaders/1.6%20Templates/CTIME_Worksheet_Template_Date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CTIME_Worksheet_Template_Dated.dotx</Template>
  <TotalTime>231</TotalTime>
  <Pages>4</Pages>
  <Words>1273</Words>
  <Characters>7260</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8516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subject/>
  <dc:creator>Andy Anderson</dc:creator>
  <cp:keywords/>
  <cp:lastModifiedBy>Tompkins, Elizabeth</cp:lastModifiedBy>
  <cp:revision>32</cp:revision>
  <dcterms:created xsi:type="dcterms:W3CDTF">2018-01-25T13:48:00Z</dcterms:created>
  <dcterms:modified xsi:type="dcterms:W3CDTF">2020-01-27T19:45:00Z</dcterms:modified>
</cp:coreProperties>
</file>